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43" w:rsidRDefault="00545133" w:rsidP="00AE0243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</w:t>
      </w:r>
      <w:r w:rsidR="00E40A80">
        <w:rPr>
          <w:rFonts w:ascii="Calibri" w:hAnsi="Calibri" w:cs="Calibri"/>
          <w:sz w:val="22"/>
          <w:szCs w:val="22"/>
        </w:rPr>
        <w:t xml:space="preserve">  </w:t>
      </w:r>
      <w:r w:rsidR="00FE4084">
        <w:rPr>
          <w:rFonts w:ascii="Calibri" w:hAnsi="Calibri" w:cs="Calibri"/>
          <w:sz w:val="22"/>
          <w:szCs w:val="22"/>
        </w:rPr>
        <w:t xml:space="preserve"> </w:t>
      </w:r>
      <w:r w:rsidR="00AE0243">
        <w:rPr>
          <w:rFonts w:ascii="Calibri" w:hAnsi="Calibri" w:cs="Calibri"/>
          <w:sz w:val="22"/>
          <w:szCs w:val="22"/>
        </w:rPr>
        <w:t xml:space="preserve">  </w:t>
      </w:r>
      <w:r w:rsidR="00AE0243"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9" o:title=""/>
          </v:shape>
          <o:OLEObject Type="Embed" ProgID="Word.Picture.8" ShapeID="_x0000_i1025" DrawAspect="Content" ObjectID="_1560057866" r:id="rId10"/>
        </w:object>
      </w:r>
    </w:p>
    <w:p w:rsidR="00AE0243" w:rsidRDefault="00AE0243" w:rsidP="00AE0243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AE0243" w:rsidRDefault="00AE0243" w:rsidP="00AE02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AE0243" w:rsidRDefault="00AE0243" w:rsidP="00AE02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AE0243" w:rsidRDefault="00AE0243" w:rsidP="00AE0243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ул. </w:t>
      </w:r>
      <w:proofErr w:type="spellStart"/>
      <w:r>
        <w:rPr>
          <w:rFonts w:ascii="Times New Roman CYR" w:hAnsi="Times New Roman CYR" w:cs="Times New Roman CYR"/>
        </w:rPr>
        <w:t>К.Маркса</w:t>
      </w:r>
      <w:proofErr w:type="spellEnd"/>
      <w:r>
        <w:rPr>
          <w:rFonts w:ascii="Times New Roman CYR" w:hAnsi="Times New Roman CYR" w:cs="Times New Roman CYR"/>
        </w:rPr>
        <w:t xml:space="preserve">, 56,  г. Томск, Россия, 634050; тел. </w:t>
      </w:r>
      <w:r>
        <w:rPr>
          <w:rFonts w:ascii="Times New Roman CYR" w:hAnsi="Times New Roman CYR" w:cs="Times New Roman CYR"/>
          <w:lang w:val="en-US"/>
        </w:rPr>
        <w:t>(</w:t>
      </w:r>
      <w:r>
        <w:rPr>
          <w:rFonts w:ascii="Times New Roman CYR" w:hAnsi="Times New Roman CYR" w:cs="Times New Roman CYR"/>
        </w:rPr>
        <w:t>факс</w:t>
      </w:r>
      <w:r>
        <w:rPr>
          <w:rFonts w:ascii="Times New Roman CYR" w:hAnsi="Times New Roman CYR" w:cs="Times New Roman CYR"/>
          <w:lang w:val="en-US"/>
        </w:rPr>
        <w:t>) 40-05-19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1" w:history="1">
        <w:r>
          <w:rPr>
            <w:rStyle w:val="a3"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proofErr w:type="spellStart"/>
        <w:r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AE0243" w:rsidRDefault="00AE0243" w:rsidP="00AE0243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AE0243" w:rsidRDefault="00AE0243" w:rsidP="00AE0243">
      <w:pPr>
        <w:autoSpaceDE w:val="0"/>
        <w:autoSpaceDN w:val="0"/>
        <w:adjustRightInd w:val="0"/>
        <w:jc w:val="both"/>
      </w:pPr>
    </w:p>
    <w:p w:rsidR="00AE0243" w:rsidRDefault="0010334A" w:rsidP="00AE0243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2</w:t>
      </w:r>
      <w:r w:rsidR="00AE0243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:rsidR="00AE0243" w:rsidRDefault="00AE0243" w:rsidP="00AE0243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AE0243" w:rsidRDefault="00AE0243" w:rsidP="00AE0243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Новорождественского сельского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поселения за 201</w:t>
      </w:r>
      <w:r w:rsidR="0010334A">
        <w:rPr>
          <w:rFonts w:ascii="Times New Roman CYR" w:hAnsi="Times New Roman CYR" w:cs="Times New Roman CYR"/>
          <w:b/>
          <w:bCs/>
        </w:rPr>
        <w:t>6</w:t>
      </w:r>
      <w:r>
        <w:rPr>
          <w:rFonts w:ascii="Times New Roman CYR" w:hAnsi="Times New Roman CYR" w:cs="Times New Roman CYR"/>
          <w:b/>
          <w:bCs/>
        </w:rPr>
        <w:t xml:space="preserve"> год.</w:t>
      </w:r>
    </w:p>
    <w:p w:rsidR="00AE0243" w:rsidRDefault="00AE0243" w:rsidP="00AE0243">
      <w:pPr>
        <w:pStyle w:val="a5"/>
        <w:jc w:val="center"/>
        <w:rPr>
          <w:sz w:val="28"/>
          <w:szCs w:val="28"/>
        </w:rPr>
      </w:pPr>
    </w:p>
    <w:p w:rsidR="00AE0243" w:rsidRDefault="0010334A" w:rsidP="00AE0243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28</w:t>
      </w:r>
      <w:r w:rsidR="00AE0243">
        <w:rPr>
          <w:b/>
          <w:sz w:val="24"/>
          <w:szCs w:val="24"/>
        </w:rPr>
        <w:t>.04. 201</w:t>
      </w:r>
      <w:r>
        <w:rPr>
          <w:b/>
          <w:sz w:val="24"/>
          <w:szCs w:val="24"/>
        </w:rPr>
        <w:t>7</w:t>
      </w:r>
      <w:r w:rsidR="00AE0243">
        <w:rPr>
          <w:b/>
          <w:sz w:val="24"/>
          <w:szCs w:val="24"/>
        </w:rPr>
        <w:t xml:space="preserve">г. </w:t>
      </w:r>
    </w:p>
    <w:p w:rsidR="00AE0243" w:rsidRDefault="00AE0243" w:rsidP="00AE0243">
      <w:pPr>
        <w:pStyle w:val="a5"/>
        <w:jc w:val="both"/>
        <w:rPr>
          <w:b/>
          <w:sz w:val="24"/>
          <w:szCs w:val="24"/>
        </w:rPr>
      </w:pPr>
    </w:p>
    <w:p w:rsidR="00AE0243" w:rsidRDefault="00AE0243" w:rsidP="00AE0243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AE0243" w:rsidRDefault="00AE0243" w:rsidP="00AE0243">
      <w:pPr>
        <w:ind w:firstLine="709"/>
        <w:jc w:val="both"/>
        <w:rPr>
          <w:color w:val="000000"/>
        </w:rPr>
      </w:pPr>
      <w:proofErr w:type="gramStart"/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>
        <w:rPr>
          <w:iCs/>
        </w:rPr>
        <w:t>пункт 2.17  плана работы Счетной палаты муниципального образования «Томский район» на 201</w:t>
      </w:r>
      <w:r w:rsidR="0010334A">
        <w:rPr>
          <w:iCs/>
        </w:rPr>
        <w:t>7</w:t>
      </w:r>
      <w:r>
        <w:rPr>
          <w:iCs/>
        </w:rPr>
        <w:t xml:space="preserve"> год, утвержденного распоряжением  Счетной палаты от 28.12.201</w:t>
      </w:r>
      <w:r w:rsidR="0010334A">
        <w:rPr>
          <w:iCs/>
        </w:rPr>
        <w:t>7г. № 16</w:t>
      </w:r>
      <w:r>
        <w:rPr>
          <w:iCs/>
        </w:rPr>
        <w:t xml:space="preserve">, </w:t>
      </w:r>
      <w:r>
        <w:t xml:space="preserve"> распоряжение Счетной палаты «</w:t>
      </w:r>
      <w:r>
        <w:rPr>
          <w:iCs/>
        </w:rPr>
        <w:t>О проведении внешней проверки годовых отчетов об исполнении</w:t>
      </w:r>
      <w:proofErr w:type="gramEnd"/>
      <w:r>
        <w:rPr>
          <w:iCs/>
        </w:rPr>
        <w:t xml:space="preserve"> бюджетов поселений, расположенных в границах Томского района, за 201</w:t>
      </w:r>
      <w:r w:rsidR="0010334A">
        <w:rPr>
          <w:iCs/>
        </w:rPr>
        <w:t>6</w:t>
      </w:r>
      <w:r>
        <w:rPr>
          <w:iCs/>
        </w:rPr>
        <w:t xml:space="preserve"> год» </w:t>
      </w:r>
      <w:r w:rsidR="0010334A">
        <w:t>от  20.03.2015 № 6</w:t>
      </w:r>
      <w:r>
        <w:t xml:space="preserve">, </w:t>
      </w:r>
      <w:r>
        <w:rPr>
          <w:rFonts w:ascii="Times New Roman CYR" w:hAnsi="Times New Roman CYR" w:cs="Times New Roman CYR"/>
        </w:rPr>
        <w:t>Соглашение «О передаче полномочий по осуществлению внешней проверки годового отчета об исполнении бюджета Новорождественского се</w:t>
      </w:r>
      <w:r w:rsidR="0010334A">
        <w:rPr>
          <w:rFonts w:ascii="Times New Roman CYR" w:hAnsi="Times New Roman CYR" w:cs="Times New Roman CYR"/>
        </w:rPr>
        <w:t>льского поселения» от 30.03.2017</w:t>
      </w:r>
      <w:r>
        <w:rPr>
          <w:rFonts w:ascii="Times New Roman CYR" w:hAnsi="Times New Roman CYR" w:cs="Times New Roman CYR"/>
        </w:rPr>
        <w:t>г №</w:t>
      </w:r>
      <w:r w:rsidR="005D7C8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</w:t>
      </w:r>
      <w:r w:rsidR="0010334A">
        <w:rPr>
          <w:rFonts w:ascii="Times New Roman CYR" w:hAnsi="Times New Roman CYR" w:cs="Times New Roman CYR"/>
        </w:rPr>
        <w:t>5</w:t>
      </w:r>
      <w:r w:rsidR="005D7C88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>обращение Совета Новорождественского сельского поселения от 30.03.201</w:t>
      </w:r>
      <w:r w:rsidR="0010334A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г № 1.</w:t>
      </w:r>
      <w:r>
        <w:t xml:space="preserve">   </w:t>
      </w:r>
    </w:p>
    <w:p w:rsidR="00AE0243" w:rsidRDefault="00AE0243" w:rsidP="00AE0243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AE0243" w:rsidRDefault="00AE0243" w:rsidP="00AE0243">
      <w:pPr>
        <w:ind w:firstLine="709"/>
        <w:jc w:val="both"/>
      </w:pPr>
      <w:r>
        <w:t xml:space="preserve">Определение соответствия  годового отчета об исполнении бюджета </w:t>
      </w:r>
      <w:r>
        <w:rPr>
          <w:rFonts w:ascii="Times New Roman CYR" w:hAnsi="Times New Roman CYR" w:cs="Times New Roman CYR"/>
        </w:rPr>
        <w:t>Новорождественского</w:t>
      </w:r>
      <w: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AE0243" w:rsidRDefault="00AE0243" w:rsidP="00AE0243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AE0243" w:rsidRDefault="00AE0243" w:rsidP="00AE0243">
      <w:pPr>
        <w:ind w:firstLine="709"/>
        <w:jc w:val="both"/>
        <w:rPr>
          <w:b/>
        </w:rPr>
      </w:pPr>
      <w:r>
        <w:t xml:space="preserve">Годовой отчет об исполнении бюджета </w:t>
      </w:r>
      <w:r>
        <w:rPr>
          <w:rFonts w:ascii="Times New Roman CYR" w:hAnsi="Times New Roman CYR" w:cs="Times New Roman CYR"/>
        </w:rPr>
        <w:t>Новорождественского</w:t>
      </w:r>
      <w:r>
        <w:t xml:space="preserve"> сельского поселения за 201</w:t>
      </w:r>
      <w:r w:rsidR="0010334A">
        <w:t>6</w:t>
      </w:r>
      <w:r>
        <w:t xml:space="preserve"> год.</w:t>
      </w:r>
    </w:p>
    <w:p w:rsidR="00AE0243" w:rsidRDefault="00AE0243" w:rsidP="00AE0243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AE0243" w:rsidRDefault="00AE0243" w:rsidP="00AE0243">
      <w:pPr>
        <w:ind w:firstLine="709"/>
        <w:jc w:val="both"/>
      </w:pPr>
      <w:r>
        <w:t xml:space="preserve"> Администрация </w:t>
      </w:r>
      <w:r>
        <w:rPr>
          <w:rFonts w:ascii="Times New Roman CYR" w:hAnsi="Times New Roman CYR" w:cs="Times New Roman CYR"/>
        </w:rPr>
        <w:t>Новорождественского</w:t>
      </w:r>
      <w:r>
        <w:t xml:space="preserve"> сельского поселения.</w:t>
      </w:r>
    </w:p>
    <w:p w:rsidR="00AE0243" w:rsidRDefault="00AE0243" w:rsidP="00AE0243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</w:t>
      </w:r>
      <w:r w:rsidR="0010334A">
        <w:t>рка проводилась с 01 апреля по 28</w:t>
      </w:r>
      <w:r>
        <w:t xml:space="preserve"> апреля 201</w:t>
      </w:r>
      <w:r w:rsidR="0010334A">
        <w:t>7</w:t>
      </w:r>
      <w:r>
        <w:t>г. в помещении Счетной палаты по адресу:                     г. Томск, ул. К. Маркса, 56.</w:t>
      </w:r>
    </w:p>
    <w:p w:rsidR="00AE0243" w:rsidRDefault="00AE0243" w:rsidP="00AE0243">
      <w:pPr>
        <w:jc w:val="both"/>
        <w:rPr>
          <w:b/>
        </w:rPr>
      </w:pPr>
    </w:p>
    <w:p w:rsidR="00AE0243" w:rsidRDefault="00AE0243" w:rsidP="00AE0243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AE0243" w:rsidRDefault="00AE0243" w:rsidP="00AE0243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AE0243" w:rsidRDefault="00AE0243" w:rsidP="00AE0243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AE0243" w:rsidRDefault="00AE0243" w:rsidP="00AE0243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 CYR" w:hAnsi="Times New Roman CYR" w:cs="Times New Roman CYR"/>
        </w:rPr>
        <w:t>Новорождественское</w:t>
      </w:r>
      <w:r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AE0243" w:rsidRDefault="00AE0243" w:rsidP="00AE0243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</w:rPr>
        <w:t>Новорождественское</w:t>
      </w:r>
      <w:r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AE0243" w:rsidRDefault="00AE0243" w:rsidP="00AE0243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Официальное наименование муниципального образования - муниципальное образование " </w:t>
      </w:r>
      <w:r>
        <w:rPr>
          <w:rFonts w:ascii="Times New Roman CYR" w:hAnsi="Times New Roman CYR" w:cs="Times New Roman CYR"/>
        </w:rPr>
        <w:t>Новорождественское</w:t>
      </w:r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AE0243" w:rsidRDefault="00AE0243" w:rsidP="00AE0243">
      <w:pPr>
        <w:ind w:firstLine="540"/>
        <w:jc w:val="both"/>
      </w:pPr>
      <w:r>
        <w:t xml:space="preserve">Административным центром </w:t>
      </w:r>
      <w:r>
        <w:rPr>
          <w:rFonts w:ascii="Times New Roman CYR" w:hAnsi="Times New Roman CYR" w:cs="Times New Roman CYR"/>
        </w:rPr>
        <w:t>Новорождественского</w:t>
      </w:r>
      <w:r>
        <w:t xml:space="preserve"> сельского поселения является село  </w:t>
      </w:r>
      <w:r>
        <w:rPr>
          <w:rFonts w:ascii="Times New Roman CYR" w:hAnsi="Times New Roman CYR" w:cs="Times New Roman CYR"/>
        </w:rPr>
        <w:t>Новорождественское</w:t>
      </w:r>
      <w:r>
        <w:t>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 w:rsidR="0010334A">
        <w:t>(в редакции от 16.11</w:t>
      </w:r>
      <w:r>
        <w:t>.201</w:t>
      </w:r>
      <w:r w:rsidR="0010334A">
        <w:t>6</w:t>
      </w:r>
      <w:r>
        <w:t>г)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Инструкция).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При проверке использованы: отчет об исполнении бюджета Новорождественского сельского поселения за 201</w:t>
      </w:r>
      <w:r w:rsidR="0010334A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год, отчет по поступлениям и выбытиям на 01.01.201</w:t>
      </w:r>
      <w:r w:rsidR="0010334A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 Томской области, бюджетная отчетность</w:t>
      </w:r>
      <w:r w:rsidR="00B56713">
        <w:rPr>
          <w:rFonts w:ascii="Times New Roman CYR" w:hAnsi="Times New Roman CYR" w:cs="Times New Roman CYR"/>
        </w:rPr>
        <w:t xml:space="preserve"> об исполнении бюджета Новорождественского</w:t>
      </w:r>
      <w:r>
        <w:rPr>
          <w:rFonts w:ascii="Times New Roman CYR" w:hAnsi="Times New Roman CYR" w:cs="Times New Roman CYR"/>
        </w:rPr>
        <w:t xml:space="preserve"> сельского поселения за 201</w:t>
      </w:r>
      <w:r w:rsidR="0010334A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  и другие документы. </w:t>
      </w:r>
      <w:proofErr w:type="gramEnd"/>
    </w:p>
    <w:p w:rsidR="00782554" w:rsidRPr="00782554" w:rsidRDefault="00AE0243" w:rsidP="00C77A36">
      <w:pPr>
        <w:ind w:firstLine="709"/>
        <w:jc w:val="both"/>
        <w:rPr>
          <w:rFonts w:eastAsiaTheme="minorHAnsi"/>
          <w:b/>
          <w:u w:val="single"/>
          <w:lang w:eastAsia="en-US"/>
        </w:rPr>
      </w:pPr>
      <w:proofErr w:type="gramStart"/>
      <w:r>
        <w:t>В</w:t>
      </w:r>
      <w:r w:rsidR="00782554">
        <w:t xml:space="preserve"> </w:t>
      </w:r>
      <w:r w:rsidR="0010334A">
        <w:t>2016 году бюджетные ассигнования и лимиты бюджетных обязательств до главных распорядителей</w:t>
      </w:r>
      <w:r w:rsidR="00782554">
        <w:t xml:space="preserve"> бюджетных средств дов</w:t>
      </w:r>
      <w:r w:rsidR="00A51E2C">
        <w:t>о</w:t>
      </w:r>
      <w:r w:rsidR="00782554">
        <w:t>дились</w:t>
      </w:r>
      <w:r w:rsidR="00A51E2C">
        <w:t xml:space="preserve"> ежемесячно в размере, не превышающем  одной двенадцатой части бюджетных ассигнований и лимитов бюджетных обязательств в отчетном финансовом году в соответствии со</w:t>
      </w:r>
      <w:r w:rsidR="00782554">
        <w:t xml:space="preserve"> </w:t>
      </w:r>
      <w:r w:rsidR="00A51E2C">
        <w:t>статьей 190 Бюджетного кодекса Российской Федерации</w:t>
      </w:r>
      <w:r w:rsidR="00C77A36">
        <w:t>, статьей 23 решения Совета Новорождественского сельского поселения от 26.06.2013 № 26 «Об утверждении Положения о бюджетном процессе в Новорождественском</w:t>
      </w:r>
      <w:proofErr w:type="gramEnd"/>
      <w:r w:rsidR="00C77A36">
        <w:t xml:space="preserve"> сельском </w:t>
      </w:r>
      <w:proofErr w:type="gramStart"/>
      <w:r w:rsidR="00C77A36">
        <w:t>поселении</w:t>
      </w:r>
      <w:proofErr w:type="gramEnd"/>
      <w:r w:rsidR="00C77A36">
        <w:t>»</w:t>
      </w:r>
    </w:p>
    <w:p w:rsidR="00AE0243" w:rsidRDefault="00AE0243" w:rsidP="00AE02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исполнения</w:t>
      </w:r>
      <w:r w:rsidR="00081426">
        <w:rPr>
          <w:rFonts w:ascii="Times New Roman" w:hAnsi="Times New Roman" w:cs="Times New Roman"/>
          <w:sz w:val="24"/>
          <w:szCs w:val="24"/>
        </w:rPr>
        <w:t xml:space="preserve"> бюджета поселения  сложился проф</w:t>
      </w:r>
      <w:r>
        <w:rPr>
          <w:rFonts w:ascii="Times New Roman" w:hAnsi="Times New Roman" w:cs="Times New Roman"/>
          <w:sz w:val="24"/>
          <w:szCs w:val="24"/>
        </w:rPr>
        <w:t>ицит  в р</w:t>
      </w:r>
      <w:r w:rsidR="00081426">
        <w:rPr>
          <w:rFonts w:ascii="Times New Roman" w:hAnsi="Times New Roman" w:cs="Times New Roman"/>
          <w:sz w:val="24"/>
          <w:szCs w:val="24"/>
        </w:rPr>
        <w:t xml:space="preserve">азмере </w:t>
      </w:r>
      <w:r w:rsidR="00C77A36">
        <w:rPr>
          <w:rFonts w:ascii="Times New Roman" w:hAnsi="Times New Roman" w:cs="Times New Roman"/>
          <w:sz w:val="24"/>
          <w:szCs w:val="24"/>
        </w:rPr>
        <w:t xml:space="preserve"> 604,8 </w:t>
      </w:r>
      <w:r>
        <w:rPr>
          <w:rFonts w:ascii="Times New Roman" w:hAnsi="Times New Roman" w:cs="Times New Roman"/>
          <w:sz w:val="24"/>
          <w:szCs w:val="24"/>
        </w:rPr>
        <w:t>тыс. руб</w:t>
      </w:r>
      <w:r w:rsidR="00C77A36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Кассовое обслуживание исполнения бюджета Новорождественского сельского поселения осуществлялось Управлением федерального казначейства по Томской области.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проведении сверки показателей формы 0503151 </w:t>
      </w:r>
      <w:r>
        <w:t>«</w:t>
      </w:r>
      <w:r>
        <w:rPr>
          <w:rFonts w:ascii="Times New Roman CYR" w:hAnsi="Times New Roman CYR" w:cs="Times New Roman CYR"/>
        </w:rPr>
        <w:t>Отчет по поступлениям и выбытиям</w:t>
      </w:r>
      <w:r>
        <w:t xml:space="preserve">» </w:t>
      </w:r>
      <w:r>
        <w:rPr>
          <w:rFonts w:ascii="Times New Roman CYR" w:hAnsi="Times New Roman CYR" w:cs="Times New Roman CYR"/>
        </w:rPr>
        <w:t xml:space="preserve">Управления Федерального казначейства по Томской области и формы 0503117 </w:t>
      </w:r>
      <w:r>
        <w:t>«</w:t>
      </w:r>
      <w:r>
        <w:rPr>
          <w:rFonts w:ascii="Times New Roman CYR" w:hAnsi="Times New Roman CYR" w:cs="Times New Roman CYR"/>
        </w:rPr>
        <w:t>Отчет об исполнении бюджета</w:t>
      </w:r>
      <w:r>
        <w:t xml:space="preserve"> </w:t>
      </w:r>
      <w:r>
        <w:rPr>
          <w:rFonts w:ascii="Times New Roman CYR" w:hAnsi="Times New Roman CYR" w:cs="Times New Roman CYR"/>
        </w:rPr>
        <w:t xml:space="preserve">Администрации Новорождественского сельского поселения» </w:t>
      </w:r>
      <w:r w:rsidR="0006218A">
        <w:rPr>
          <w:rFonts w:ascii="Times New Roman CYR" w:hAnsi="Times New Roman CYR" w:cs="Times New Roman CYR"/>
        </w:rPr>
        <w:t>на 01.01.201</w:t>
      </w:r>
      <w:r w:rsidR="00C77A36">
        <w:rPr>
          <w:rFonts w:ascii="Times New Roman CYR" w:hAnsi="Times New Roman CYR" w:cs="Times New Roman CYR"/>
        </w:rPr>
        <w:t>7</w:t>
      </w:r>
      <w:r w:rsidR="0006218A">
        <w:rPr>
          <w:rFonts w:ascii="Times New Roman CYR" w:hAnsi="Times New Roman CYR" w:cs="Times New Roman CYR"/>
        </w:rPr>
        <w:t xml:space="preserve">г. </w:t>
      </w:r>
      <w:r>
        <w:rPr>
          <w:rFonts w:ascii="Times New Roman CYR" w:hAnsi="Times New Roman CYR" w:cs="Times New Roman CYR"/>
        </w:rPr>
        <w:t xml:space="preserve"> установлено соответствие сумм. 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проведении сверки показателей формы 0503150 </w:t>
      </w:r>
      <w:r>
        <w:t>«</w:t>
      </w:r>
      <w:r>
        <w:rPr>
          <w:rFonts w:ascii="Times New Roman CYR" w:hAnsi="Times New Roman CYR" w:cs="Times New Roman CYR"/>
        </w:rPr>
        <w:t>Баланс по операциям кассового обслуживания исполнения бюджета</w:t>
      </w:r>
      <w:r>
        <w:t xml:space="preserve">» </w:t>
      </w:r>
      <w:r>
        <w:rPr>
          <w:rFonts w:ascii="Times New Roman CYR" w:hAnsi="Times New Roman CYR" w:cs="Times New Roman CYR"/>
        </w:rPr>
        <w:t xml:space="preserve">на 01.01.2015г. Управления Федерального казначейства по Томской области и формы 0503120 </w:t>
      </w:r>
      <w:r>
        <w:t>«</w:t>
      </w:r>
      <w:r>
        <w:rPr>
          <w:rFonts w:ascii="Times New Roman CYR" w:hAnsi="Times New Roman CYR" w:cs="Times New Roman CYR"/>
        </w:rPr>
        <w:t>Баланс исполнения бюджета Администрации  Новорождественского сельского поселения</w:t>
      </w:r>
      <w:r>
        <w:t xml:space="preserve">» </w:t>
      </w:r>
      <w:r w:rsidR="00345717">
        <w:rPr>
          <w:rFonts w:ascii="Times New Roman CYR" w:hAnsi="Times New Roman CYR" w:cs="Times New Roman CYR"/>
        </w:rPr>
        <w:t xml:space="preserve">на </w:t>
      </w:r>
      <w:r w:rsidR="0006218A">
        <w:rPr>
          <w:rFonts w:ascii="Times New Roman CYR" w:hAnsi="Times New Roman CYR" w:cs="Times New Roman CYR"/>
        </w:rPr>
        <w:t>01.01.201</w:t>
      </w:r>
      <w:r w:rsidR="00C77A3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г.   установлено соответствие сумм. </w:t>
      </w:r>
    </w:p>
    <w:p w:rsidR="00911836" w:rsidRDefault="00911836" w:rsidP="00AE0243">
      <w:pPr>
        <w:ind w:firstLine="709"/>
        <w:jc w:val="both"/>
        <w:rPr>
          <w:rFonts w:ascii="Times New Roman CYR" w:hAnsi="Times New Roman CYR" w:cs="Times New Roman CYR"/>
        </w:rPr>
      </w:pPr>
    </w:p>
    <w:p w:rsidR="00911836" w:rsidRPr="00911836" w:rsidRDefault="00911836" w:rsidP="00911836">
      <w:pPr>
        <w:pStyle w:val="a7"/>
        <w:numPr>
          <w:ilvl w:val="0"/>
          <w:numId w:val="1"/>
        </w:numPr>
        <w:jc w:val="center"/>
        <w:rPr>
          <w:b/>
        </w:rPr>
      </w:pPr>
      <w:r w:rsidRPr="00911836">
        <w:rPr>
          <w:b/>
        </w:rPr>
        <w:t>Определение степени финансовой устойчивости бюджета.</w:t>
      </w:r>
    </w:p>
    <w:p w:rsidR="00911836" w:rsidRDefault="00911836" w:rsidP="00911836">
      <w:pPr>
        <w:pStyle w:val="a7"/>
        <w:ind w:left="1069"/>
        <w:rPr>
          <w:b/>
        </w:rPr>
      </w:pPr>
    </w:p>
    <w:p w:rsidR="00911836" w:rsidRDefault="00911836" w:rsidP="00911836">
      <w:pPr>
        <w:ind w:firstLine="709"/>
        <w:jc w:val="both"/>
      </w:pPr>
      <w: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>
        <w:t>дотационности</w:t>
      </w:r>
      <w:proofErr w:type="spellEnd"/>
      <w:r>
        <w:t xml:space="preserve">. </w:t>
      </w:r>
      <w:proofErr w:type="gramStart"/>
      <w:r>
        <w:t>Оценивается степень зависимости бюджета от финансовой помощи из районного и областного бюджетов.</w:t>
      </w:r>
      <w:proofErr w:type="gramEnd"/>
      <w:r>
        <w:t xml:space="preserve"> Анализ финансовой устойчивости проводится по следующим показателям:</w:t>
      </w:r>
    </w:p>
    <w:p w:rsidR="00911836" w:rsidRDefault="00911836" w:rsidP="00911836">
      <w:pPr>
        <w:ind w:firstLine="709"/>
        <w:jc w:val="both"/>
      </w:pPr>
      <w:r>
        <w:lastRenderedPageBreak/>
        <w:t>-коэффициент бюджетной зависимости (показывает долю дотаций и субсидий в общей сумме доходов  бюджета за вычетом субвенций) плановый коэффициент 201</w:t>
      </w:r>
      <w:r w:rsidR="005D7C88">
        <w:t>6</w:t>
      </w:r>
      <w:r>
        <w:t xml:space="preserve"> года – 89,0%,  фактический –  8</w:t>
      </w:r>
      <w:r w:rsidR="00345717">
        <w:t>5,4</w:t>
      </w:r>
      <w:r>
        <w:t>%;</w:t>
      </w:r>
    </w:p>
    <w:p w:rsidR="00911836" w:rsidRDefault="00911836" w:rsidP="00911836">
      <w:pPr>
        <w:ind w:firstLine="709"/>
        <w:jc w:val="both"/>
      </w:pPr>
      <w: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911836" w:rsidRDefault="00911836" w:rsidP="00911836">
      <w:pPr>
        <w:ind w:firstLine="709"/>
        <w:jc w:val="both"/>
      </w:pPr>
      <w:r>
        <w:t>плановый коэффициент –  1</w:t>
      </w:r>
      <w:r w:rsidR="00345717">
        <w:t>7,1</w:t>
      </w:r>
      <w:r>
        <w:t xml:space="preserve">%, фактический – </w:t>
      </w:r>
      <w:r w:rsidR="00345717">
        <w:t>20,5</w:t>
      </w:r>
      <w:r>
        <w:t>%</w:t>
      </w:r>
    </w:p>
    <w:p w:rsidR="00911836" w:rsidRDefault="00911836" w:rsidP="00911836">
      <w:pPr>
        <w:ind w:firstLine="709"/>
        <w:jc w:val="both"/>
      </w:pPr>
      <w:r>
        <w:t>Анализируя  плановые и фактические значения, приходим к  выводу, что показатели финансовой устойчивости и бюджетного потенциала при исполнении бюджета за 201</w:t>
      </w:r>
      <w:r w:rsidR="00345717">
        <w:t>6</w:t>
      </w:r>
      <w:r>
        <w:t xml:space="preserve"> год незначительно изменились,  бюджет поселения в значительной степени зависит от финансовой помощи из бюджета района и области.</w:t>
      </w:r>
    </w:p>
    <w:p w:rsidR="00AE0243" w:rsidRDefault="00AE0243" w:rsidP="00AE0243">
      <w:pPr>
        <w:rPr>
          <w:b/>
        </w:rPr>
      </w:pPr>
    </w:p>
    <w:p w:rsidR="00AE0243" w:rsidRDefault="00AE0243" w:rsidP="00AE0243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AE0243" w:rsidRDefault="00AE0243" w:rsidP="00AE0243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AE0243" w:rsidRDefault="00AE0243" w:rsidP="00AE0243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0" w:name="YANDEX_1067"/>
      <w:bookmarkEnd w:id="0"/>
      <w:r>
        <w:rPr>
          <w:rStyle w:val="highlighthighlightactive"/>
        </w:rPr>
        <w:t> </w:t>
      </w:r>
      <w:r>
        <w:rPr>
          <w:rFonts w:ascii="Times New Roman CYR" w:hAnsi="Times New Roman CYR" w:cs="Times New Roman CYR"/>
        </w:rPr>
        <w:t>Новорождественского</w:t>
      </w:r>
      <w:r>
        <w:t xml:space="preserve"> </w:t>
      </w:r>
      <w:bookmarkStart w:id="1" w:name="YANDEX_1068"/>
      <w:bookmarkEnd w:id="1"/>
      <w:r>
        <w:rPr>
          <w:rStyle w:val="highlighthighlightactive"/>
        </w:rPr>
        <w:t> сельского </w:t>
      </w:r>
      <w:r>
        <w:t xml:space="preserve"> </w:t>
      </w:r>
      <w:bookmarkStart w:id="2" w:name="YANDEX_1069"/>
      <w:bookmarkEnd w:id="2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 внешнюю проверку </w:t>
      </w:r>
      <w:bookmarkStart w:id="3" w:name="YANDEX_1070"/>
      <w:bookmarkEnd w:id="3"/>
      <w:r>
        <w:rPr>
          <w:rStyle w:val="highlighthighlightactive"/>
        </w:rPr>
        <w:t> бюджетной </w:t>
      </w:r>
      <w:r>
        <w:t xml:space="preserve"> отчетности главных администраторов </w:t>
      </w:r>
      <w:bookmarkStart w:id="4" w:name="YANDEX_1071"/>
      <w:bookmarkEnd w:id="4"/>
      <w:r>
        <w:rPr>
          <w:rStyle w:val="highlighthighlightactive"/>
        </w:rPr>
        <w:t> бюджетных </w:t>
      </w:r>
      <w:r>
        <w:t xml:space="preserve"> средств и подготовку заключения на годовой отчет об исполнении бюджета.</w:t>
      </w:r>
    </w:p>
    <w:p w:rsidR="00AE0243" w:rsidRDefault="00AE0243" w:rsidP="00AE0243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Во исполнение Соглашения «О передаче полномочий по осуществлению внешней проверки годового отчета об исполнении бюджета Новорождественского сельского поселения» от 30.03.201</w:t>
      </w:r>
      <w:r w:rsidR="00DC72A2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г № 1</w:t>
      </w:r>
      <w:r w:rsidR="00DC72A2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Администрация поселения представила отчет об исполнении бюджета поселения за 201</w:t>
      </w:r>
      <w:r w:rsidR="00DC72A2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  в Счетную палату до 01.04.2016г,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>
        <w:t>в сброшюрованном и пронумерованном виде с оглавлением и сопроводительным письмом.</w:t>
      </w:r>
    </w:p>
    <w:p w:rsidR="00AE0243" w:rsidRDefault="00AE0243" w:rsidP="00AE0243">
      <w:pPr>
        <w:pStyle w:val="a4"/>
        <w:spacing w:before="0" w:beforeAutospacing="0" w:after="0" w:afterAutospacing="0"/>
        <w:ind w:firstLine="720"/>
        <w:jc w:val="both"/>
        <w:rPr>
          <w:b/>
          <w:u w:val="single"/>
        </w:rPr>
      </w:pPr>
      <w:r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</w:t>
      </w:r>
      <w:r w:rsidRPr="000B0306">
        <w:rPr>
          <w:b/>
        </w:rPr>
        <w:t>выявлены следующие недостатки.</w:t>
      </w:r>
      <w:r w:rsidRPr="000B0306">
        <w:rPr>
          <w:b/>
          <w:u w:val="single"/>
        </w:rPr>
        <w:t xml:space="preserve"> </w:t>
      </w:r>
    </w:p>
    <w:p w:rsidR="00B76924" w:rsidRPr="00B76924" w:rsidRDefault="00B76924" w:rsidP="00B76924">
      <w:pPr>
        <w:ind w:right="-1" w:firstLine="720"/>
        <w:jc w:val="both"/>
        <w:rPr>
          <w:rFonts w:eastAsia="Calibri"/>
        </w:rPr>
      </w:pPr>
      <w:proofErr w:type="gramStart"/>
      <w:r w:rsidRPr="00B76924">
        <w:rPr>
          <w:rFonts w:eastAsia="Calibri"/>
        </w:rPr>
        <w:t xml:space="preserve">В нарушение </w:t>
      </w:r>
      <w:hyperlink r:id="rId12" w:history="1">
        <w:r w:rsidRPr="00B76924">
          <w:rPr>
            <w:rFonts w:eastAsia="Calibri"/>
          </w:rPr>
          <w:t>пункта 152</w:t>
        </w:r>
      </w:hyperlink>
      <w:r w:rsidRPr="00B76924">
        <w:rPr>
          <w:rFonts w:eastAsia="Calibri"/>
        </w:rPr>
        <w:t xml:space="preserve"> Инструкции № 191н в разделе  II пояснительной записки </w:t>
      </w:r>
      <w:r>
        <w:rPr>
          <w:rFonts w:eastAsia="Calibri"/>
        </w:rPr>
        <w:t>не представлены</w:t>
      </w:r>
      <w:r w:rsidRPr="00B76924">
        <w:rPr>
          <w:rFonts w:eastAsia="Calibri"/>
        </w:rPr>
        <w:t xml:space="preserve">: таблица № 2 «Сведения о мерах по повышению эффективности расходования бюджетных средств»; таблица № 3 «Сведения об исполнении текстовых статей закона (решения) о бюджете»; </w:t>
      </w:r>
      <w:r>
        <w:rPr>
          <w:rFonts w:eastAsia="Calibri"/>
        </w:rPr>
        <w:t>таблица № 4 «Сведения об особенностях ведения бюджетного учета»</w:t>
      </w:r>
      <w:r w:rsidRPr="00B76924">
        <w:rPr>
          <w:rFonts w:eastAsia="Calibri"/>
        </w:rPr>
        <w:t>; таблица № 6 «Сведения о проведении инвентаризации»; таблица № 7 «Сведения о результатах внешнего государственного (муниципального) финансового контроля».</w:t>
      </w:r>
      <w:proofErr w:type="gramEnd"/>
    </w:p>
    <w:p w:rsidR="009767E4" w:rsidRDefault="00AE0243" w:rsidP="009767E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кодовой части форм не проставлены коды по ОКПО, глава по БК, ИНН.</w:t>
      </w:r>
    </w:p>
    <w:p w:rsidR="009767E4" w:rsidRPr="009767E4" w:rsidRDefault="009767E4" w:rsidP="009767E4">
      <w:pPr>
        <w:widowControl w:val="0"/>
        <w:autoSpaceDE w:val="0"/>
        <w:autoSpaceDN w:val="0"/>
        <w:adjustRightInd w:val="0"/>
        <w:ind w:firstLine="540"/>
        <w:jc w:val="both"/>
      </w:pPr>
      <w:r w:rsidRPr="009767E4">
        <w:t xml:space="preserve">В нарушение </w:t>
      </w:r>
      <w:hyperlink r:id="rId13" w:history="1">
        <w:r w:rsidRPr="009767E4">
          <w:t>пункта 162</w:t>
        </w:r>
      </w:hyperlink>
      <w:r w:rsidRPr="009767E4">
        <w:t xml:space="preserve"> Инструкции № 191н  </w:t>
      </w:r>
      <w:hyperlink r:id="rId14" w:history="1">
        <w:r w:rsidRPr="009767E4">
          <w:t>форма 0503163</w:t>
        </w:r>
      </w:hyperlink>
      <w:r w:rsidRPr="009767E4">
        <w:t xml:space="preserve"> "Сведения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бюджета" на проверку не предоставлена.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нарушение </w:t>
      </w:r>
      <w:hyperlink r:id="rId15" w:history="1">
        <w:r>
          <w:rPr>
            <w:rStyle w:val="a3"/>
            <w:color w:val="auto"/>
            <w:u w:val="none"/>
          </w:rPr>
          <w:t>п. 172</w:t>
        </w:r>
      </w:hyperlink>
      <w:r>
        <w:t xml:space="preserve"> Инструкции № 191н в таблице пояснительной записки </w:t>
      </w:r>
      <w:hyperlink r:id="rId16" w:history="1">
        <w:r>
          <w:rPr>
            <w:rStyle w:val="a3"/>
            <w:color w:val="auto"/>
            <w:u w:val="none"/>
          </w:rPr>
          <w:t>формы 0503177</w:t>
        </w:r>
      </w:hyperlink>
      <w: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Как следует из положений данного </w:t>
      </w:r>
      <w:hyperlink r:id="rId17" w:history="1">
        <w:r>
          <w:rPr>
            <w:rStyle w:val="a3"/>
            <w:color w:val="auto"/>
            <w:u w:val="none"/>
          </w:rPr>
          <w:t>пункта</w:t>
        </w:r>
      </w:hyperlink>
      <w: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>- с проектированием прикладных систем и информационно-коммуникационной инфраструктуры;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>- с разработкой (доработкой) программного обеспечения;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>- с капитальными вложениями в объекты информационно-коммуникационной инфраструктуры;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оборудования и предустановленного программного обеспечения;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неисключительных прав на программное обеспечение;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>- с услугами по аренде оборудования;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>- с подключением (обеспечением доступа) к внешним информационным ресурсам;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>- эксплуатационными расходами на информационно-коммуникационные технологии;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>- обучением сотрудников в области информационно-коммуникационных технологий;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>- прочими расходами в области информационно-коммуникационных технологий.</w:t>
      </w: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AE0243" w:rsidRDefault="00AE0243" w:rsidP="00AE0243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Недостатки в отчетности и несоответствия с Инструкцией № 191н,  не изменяют основные характеристики исполнения бюджета </w:t>
      </w:r>
      <w:r w:rsidR="00CD70A3">
        <w:rPr>
          <w:lang w:eastAsia="ar-SA"/>
        </w:rPr>
        <w:t xml:space="preserve">Новорождественского </w:t>
      </w:r>
      <w:r w:rsidR="009767E4">
        <w:rPr>
          <w:lang w:eastAsia="ar-SA"/>
        </w:rPr>
        <w:t>сельского поселения за 2016</w:t>
      </w:r>
      <w:r>
        <w:rPr>
          <w:lang w:eastAsia="ar-SA"/>
        </w:rPr>
        <w:t xml:space="preserve"> год, поэтому дальнейший анализ будет проведен с учетом уже указанных выше замечаний.</w:t>
      </w:r>
    </w:p>
    <w:p w:rsidR="00AE0243" w:rsidRDefault="00AE0243" w:rsidP="00AE0243">
      <w:pPr>
        <w:rPr>
          <w:rFonts w:ascii="Times New Roman CYR" w:hAnsi="Times New Roman CYR" w:cs="Times New Roman CYR"/>
        </w:rPr>
      </w:pPr>
    </w:p>
    <w:p w:rsidR="00AE0243" w:rsidRDefault="00AE0243" w:rsidP="00AE0243">
      <w:pPr>
        <w:jc w:val="center"/>
        <w:rPr>
          <w:b/>
        </w:rPr>
      </w:pPr>
      <w:r>
        <w:rPr>
          <w:b/>
        </w:rPr>
        <w:t xml:space="preserve">4. Организация бюджетного процесса в </w:t>
      </w:r>
      <w:r w:rsidRPr="00AE0243">
        <w:rPr>
          <w:rFonts w:ascii="Times New Roman CYR" w:hAnsi="Times New Roman CYR" w:cs="Times New Roman CYR"/>
          <w:b/>
        </w:rPr>
        <w:t>Новорождественском</w:t>
      </w:r>
      <w:r>
        <w:rPr>
          <w:b/>
        </w:rPr>
        <w:t xml:space="preserve"> сельском поселении.</w:t>
      </w:r>
    </w:p>
    <w:p w:rsidR="00AE0243" w:rsidRDefault="00AE0243" w:rsidP="00AE0243">
      <w:pPr>
        <w:rPr>
          <w:b/>
        </w:rPr>
      </w:pPr>
    </w:p>
    <w:p w:rsidR="00F7543E" w:rsidRDefault="00F7543E" w:rsidP="00F7543E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Новорождественского сельского поселения от 26.06.2013г. № 26                              утверждено положение «О бюджетном процессе </w:t>
      </w:r>
      <w:proofErr w:type="gramStart"/>
      <w:r>
        <w:t>в</w:t>
      </w:r>
      <w:proofErr w:type="gramEnd"/>
      <w:r>
        <w:t xml:space="preserve"> </w:t>
      </w:r>
      <w:proofErr w:type="gramStart"/>
      <w:r>
        <w:t>Новорождественского</w:t>
      </w:r>
      <w:proofErr w:type="gramEnd"/>
      <w:r>
        <w:t xml:space="preserve"> сельском поселении». </w:t>
      </w:r>
    </w:p>
    <w:p w:rsidR="00F7543E" w:rsidRDefault="00DB6A92" w:rsidP="00F7543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нарушение статьи 153 </w:t>
      </w:r>
      <w:r w:rsidR="00163F2E">
        <w:rPr>
          <w:rFonts w:ascii="Times New Roman CYR" w:hAnsi="Times New Roman CYR" w:cs="Times New Roman CYR"/>
        </w:rPr>
        <w:t>Б</w:t>
      </w:r>
      <w:r w:rsidR="00F7543E">
        <w:rPr>
          <w:rFonts w:ascii="Times New Roman CYR" w:hAnsi="Times New Roman CYR" w:cs="Times New Roman CYR"/>
        </w:rPr>
        <w:t>юджет</w:t>
      </w:r>
      <w:r>
        <w:rPr>
          <w:rFonts w:ascii="Times New Roman CYR" w:hAnsi="Times New Roman CYR" w:cs="Times New Roman CYR"/>
        </w:rPr>
        <w:t>ного кодекса Российской Федерации определяющей бюджетные полномочия законодательных (представительных) органов Советом</w:t>
      </w:r>
      <w:r w:rsidR="00F7543E">
        <w:rPr>
          <w:rFonts w:ascii="Times New Roman CYR" w:hAnsi="Times New Roman CYR" w:cs="Times New Roman CYR"/>
        </w:rPr>
        <w:t xml:space="preserve"> </w:t>
      </w:r>
      <w:r w:rsidR="00F7543E">
        <w:t>Новорождественского</w:t>
      </w:r>
      <w:r w:rsidR="00F7543E">
        <w:rPr>
          <w:rFonts w:ascii="Times New Roman CYR" w:hAnsi="Times New Roman CYR" w:cs="Times New Roman CYR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не утвержден бюджет Новорождественского сельского поселения </w:t>
      </w:r>
      <w:r w:rsidR="00F7543E">
        <w:rPr>
          <w:rFonts w:ascii="Times New Roman CYR" w:hAnsi="Times New Roman CYR" w:cs="Times New Roman CYR"/>
        </w:rPr>
        <w:t>на 201</w:t>
      </w:r>
      <w:r w:rsidR="00163F2E">
        <w:rPr>
          <w:rFonts w:ascii="Times New Roman CYR" w:hAnsi="Times New Roman CYR" w:cs="Times New Roman CYR"/>
        </w:rPr>
        <w:t>6</w:t>
      </w:r>
      <w:r w:rsidR="00F7543E">
        <w:rPr>
          <w:rFonts w:ascii="Times New Roman CYR" w:hAnsi="Times New Roman CYR" w:cs="Times New Roman CYR"/>
        </w:rPr>
        <w:t xml:space="preserve"> год</w:t>
      </w:r>
      <w:r>
        <w:rPr>
          <w:rFonts w:ascii="Times New Roman CYR" w:hAnsi="Times New Roman CYR" w:cs="Times New Roman CYR"/>
        </w:rPr>
        <w:t xml:space="preserve">. Временное управление бюджетом Новорождественского сельского поселения осуществлялось на основании распоряжений Администрации Новорождественского сельского поселения  № 1 от 11 января 2016 года, </w:t>
      </w:r>
      <w:r w:rsidR="00E20822">
        <w:rPr>
          <w:rFonts w:ascii="Times New Roman CYR" w:hAnsi="Times New Roman CYR" w:cs="Times New Roman CYR"/>
        </w:rPr>
        <w:t>№ 9/1</w:t>
      </w:r>
      <w:r>
        <w:rPr>
          <w:rFonts w:ascii="Times New Roman CYR" w:hAnsi="Times New Roman CYR" w:cs="Times New Roman CYR"/>
        </w:rPr>
        <w:t xml:space="preserve"> </w:t>
      </w:r>
      <w:r w:rsidR="00E20822">
        <w:rPr>
          <w:rFonts w:ascii="Times New Roman CYR" w:hAnsi="Times New Roman CYR" w:cs="Times New Roman CYR"/>
        </w:rPr>
        <w:t xml:space="preserve">от 01 апреля 2016 года и № 17 от 01 июля 2016 года и в соответствии со статьей 190 Бюджетного кодекса Российской Федерации. </w:t>
      </w:r>
      <w:r w:rsidR="00F7543E">
        <w:rPr>
          <w:rFonts w:ascii="Times New Roman CYR" w:hAnsi="Times New Roman CYR" w:cs="Times New Roman CYR"/>
        </w:rPr>
        <w:t xml:space="preserve"> </w:t>
      </w:r>
    </w:p>
    <w:p w:rsidR="00F7543E" w:rsidRDefault="00F7543E" w:rsidP="00F7543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Исполнение бюджета поселения осуществляется на основе сводной бюджетной росписи по расходам бюджета.  В соответствии со статьей 217 Бюджетного кодекса Российской Федерации. В соответствии с п</w:t>
      </w:r>
      <w:r w:rsidR="00E20822">
        <w:rPr>
          <w:rFonts w:ascii="Times New Roman CYR" w:hAnsi="Times New Roman CYR" w:cs="Times New Roman CYR"/>
        </w:rPr>
        <w:t xml:space="preserve">унктом </w:t>
      </w:r>
      <w:r>
        <w:rPr>
          <w:rFonts w:ascii="Times New Roman CYR" w:hAnsi="Times New Roman CYR" w:cs="Times New Roman CYR"/>
        </w:rPr>
        <w:t xml:space="preserve"> 6 статьи 6  положения «О бюджетном процессе в </w:t>
      </w:r>
      <w:r w:rsidR="00024151">
        <w:t>Новорождественском</w:t>
      </w:r>
      <w:r>
        <w:rPr>
          <w:rFonts w:ascii="Times New Roman CYR" w:hAnsi="Times New Roman CYR" w:cs="Times New Roman CYR"/>
        </w:rPr>
        <w:t xml:space="preserve"> сельском поселении»  сводная бюджетная роспись  утверждена Главой </w:t>
      </w:r>
      <w:r>
        <w:t>Новорождественского</w:t>
      </w:r>
      <w:r>
        <w:rPr>
          <w:rFonts w:ascii="Times New Roman CYR" w:hAnsi="Times New Roman CYR" w:cs="Times New Roman CYR"/>
        </w:rPr>
        <w:t xml:space="preserve"> сельского поселения 1</w:t>
      </w:r>
      <w:r w:rsidR="00E20822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.01.201</w:t>
      </w:r>
      <w:r w:rsidR="00E20822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г.</w:t>
      </w:r>
    </w:p>
    <w:p w:rsidR="00F7543E" w:rsidRDefault="00F7543E" w:rsidP="00F7543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Распоряжением Главы поселения от 28.10.2008г. № 9-п-1 утвержден Порядок составления, утверждения и ведения смет муниципальных бюджетных учреждений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Новорождественское сельское поселение</w:t>
      </w:r>
      <w:r>
        <w:t xml:space="preserve">». </w:t>
      </w:r>
      <w:r>
        <w:rPr>
          <w:rFonts w:ascii="Times New Roman CYR" w:hAnsi="Times New Roman CYR" w:cs="Times New Roman CYR"/>
        </w:rPr>
        <w:t>Сметы составляются по форме согласно приложению 1 к настоящему Порядку. 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</w:t>
      </w:r>
      <w:r w:rsidR="00CD70A3">
        <w:rPr>
          <w:rFonts w:ascii="Times New Roman CYR" w:hAnsi="Times New Roman CYR" w:cs="Times New Roman CYR"/>
        </w:rPr>
        <w:t>ельств. В соответствии с п.7 части 2</w:t>
      </w:r>
      <w:r>
        <w:rPr>
          <w:rFonts w:ascii="Times New Roman CYR" w:hAnsi="Times New Roman CYR" w:cs="Times New Roman CYR"/>
        </w:rPr>
        <w:t xml:space="preserve"> порядка составления, утверждения и ведения смет муниципальных бюджетных учреждений муниципального образования «Новорождественское сельское поселение»  сметы расходов на 201</w:t>
      </w:r>
      <w:r w:rsidR="00E20822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 утверждены Главой </w:t>
      </w:r>
      <w:r>
        <w:t>Новорождественского</w:t>
      </w:r>
      <w:r w:rsidR="00E20822">
        <w:rPr>
          <w:rFonts w:ascii="Times New Roman CYR" w:hAnsi="Times New Roman CYR" w:cs="Times New Roman CYR"/>
        </w:rPr>
        <w:t xml:space="preserve"> сельского поселения 11.01.2016</w:t>
      </w:r>
      <w:r>
        <w:rPr>
          <w:rFonts w:ascii="Times New Roman CYR" w:hAnsi="Times New Roman CYR" w:cs="Times New Roman CYR"/>
        </w:rPr>
        <w:t>г.</w:t>
      </w:r>
    </w:p>
    <w:p w:rsidR="00AE0243" w:rsidRDefault="00AE0243" w:rsidP="00081426">
      <w:pPr>
        <w:jc w:val="both"/>
        <w:rPr>
          <w:rFonts w:ascii="Times New Roman CYR" w:hAnsi="Times New Roman CYR" w:cs="Times New Roman CYR"/>
        </w:rPr>
      </w:pPr>
    </w:p>
    <w:p w:rsidR="005D7C88" w:rsidRDefault="005D7C88" w:rsidP="00081426">
      <w:pPr>
        <w:jc w:val="both"/>
        <w:rPr>
          <w:rFonts w:ascii="Times New Roman CYR" w:hAnsi="Times New Roman CYR" w:cs="Times New Roman CYR"/>
        </w:rPr>
      </w:pPr>
      <w:bookmarkStart w:id="5" w:name="_GoBack"/>
      <w:bookmarkEnd w:id="5"/>
    </w:p>
    <w:p w:rsidR="00AE0243" w:rsidRDefault="00AE0243" w:rsidP="00AE0243">
      <w:pPr>
        <w:pStyle w:val="a7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Исполнения бюджета по доходам.</w:t>
      </w:r>
    </w:p>
    <w:p w:rsidR="00AE0243" w:rsidRDefault="00AE0243" w:rsidP="00AE0243">
      <w:pPr>
        <w:ind w:left="709"/>
        <w:rPr>
          <w:rFonts w:ascii="Times New Roman CYR" w:hAnsi="Times New Roman CYR" w:cs="Times New Roman CYR"/>
          <w:b/>
          <w:bCs/>
        </w:rPr>
      </w:pPr>
    </w:p>
    <w:p w:rsidR="00AE0243" w:rsidRDefault="00AE0243" w:rsidP="00AE0243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 части бюджета поселения на 201</w:t>
      </w:r>
      <w:r w:rsidR="00E20822">
        <w:rPr>
          <w:rFonts w:cs="Calibri"/>
          <w:lang w:eastAsia="ar-SA"/>
        </w:rPr>
        <w:t>6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соответствии с приложением 1 к бюджету </w:t>
      </w:r>
      <w:r w:rsidR="00262B20">
        <w:rPr>
          <w:rFonts w:ascii="Times New Roman CYR" w:hAnsi="Times New Roman CYR" w:cs="Times New Roman CYR"/>
        </w:rPr>
        <w:t>Новорождественского</w:t>
      </w:r>
      <w:r>
        <w:rPr>
          <w:rFonts w:ascii="Times New Roman CYR" w:hAnsi="Times New Roman CYR" w:cs="Times New Roman CYR"/>
        </w:rPr>
        <w:t xml:space="preserve"> сельского поселения на 2015 год, утвержденным решением Совета </w:t>
      </w:r>
      <w:r w:rsidR="00262B20">
        <w:rPr>
          <w:rFonts w:ascii="Times New Roman CYR" w:hAnsi="Times New Roman CYR" w:cs="Times New Roman CYR"/>
        </w:rPr>
        <w:t>Новорождественского</w:t>
      </w:r>
      <w:r w:rsidR="00081FF9">
        <w:rPr>
          <w:rFonts w:ascii="Times New Roman CYR" w:hAnsi="Times New Roman CYR" w:cs="Times New Roman CYR"/>
        </w:rPr>
        <w:t xml:space="preserve"> сельского поселения от 26.12.2014г. № 64</w:t>
      </w:r>
      <w:r>
        <w:rPr>
          <w:rFonts w:ascii="Times New Roman CYR" w:hAnsi="Times New Roman CYR" w:cs="Times New Roman CYR"/>
        </w:rPr>
        <w:t xml:space="preserve">  </w:t>
      </w:r>
      <w:r>
        <w:t>«</w:t>
      </w:r>
      <w:r>
        <w:rPr>
          <w:rFonts w:ascii="Times New Roman CYR" w:hAnsi="Times New Roman CYR" w:cs="Times New Roman CYR"/>
        </w:rPr>
        <w:t xml:space="preserve">О бюджете </w:t>
      </w:r>
      <w:r w:rsidR="00262B20">
        <w:rPr>
          <w:rFonts w:ascii="Times New Roman CYR" w:hAnsi="Times New Roman CYR" w:cs="Times New Roman CYR"/>
        </w:rPr>
        <w:t>Новорождественского</w:t>
      </w:r>
      <w:r>
        <w:rPr>
          <w:rFonts w:ascii="Times New Roman CYR" w:hAnsi="Times New Roman CYR" w:cs="Times New Roman CYR"/>
        </w:rPr>
        <w:t xml:space="preserve"> сельского поселения на 2015 год</w:t>
      </w:r>
      <w:r>
        <w:t xml:space="preserve">», </w:t>
      </w:r>
      <w:r>
        <w:rPr>
          <w:rFonts w:ascii="Times New Roman CYR" w:hAnsi="Times New Roman CYR" w:cs="Times New Roman CYR"/>
        </w:rPr>
        <w:t xml:space="preserve">Администрация </w:t>
      </w:r>
      <w:r w:rsidR="00262B20">
        <w:rPr>
          <w:rFonts w:ascii="Times New Roman CYR" w:hAnsi="Times New Roman CYR" w:cs="Times New Roman CYR"/>
        </w:rPr>
        <w:t>Новорождественского</w:t>
      </w:r>
      <w:r>
        <w:rPr>
          <w:rFonts w:ascii="Times New Roman CYR" w:hAnsi="Times New Roman CYR" w:cs="Times New Roman CYR"/>
        </w:rPr>
        <w:t xml:space="preserve"> сельского поселения является главным администратором доходов местного бюджета и за ней закреплены источники доходов.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Общий объем доходов </w:t>
      </w:r>
      <w:r w:rsidR="00262B20">
        <w:rPr>
          <w:rFonts w:ascii="Times New Roman CYR" w:hAnsi="Times New Roman CYR" w:cs="Times New Roman CYR"/>
        </w:rPr>
        <w:t>Новорождественского</w:t>
      </w:r>
      <w:r>
        <w:rPr>
          <w:rFonts w:ascii="Times New Roman CYR" w:hAnsi="Times New Roman CYR" w:cs="Times New Roman CYR"/>
        </w:rPr>
        <w:t xml:space="preserve"> сельского поселения  был </w:t>
      </w:r>
      <w:r w:rsidR="00F2510E">
        <w:rPr>
          <w:rFonts w:ascii="Times New Roman CYR" w:hAnsi="Times New Roman CYR" w:cs="Times New Roman CYR"/>
        </w:rPr>
        <w:t xml:space="preserve">запланирован </w:t>
      </w:r>
      <w:r>
        <w:rPr>
          <w:rFonts w:ascii="Times New Roman CYR" w:hAnsi="Times New Roman CYR" w:cs="Times New Roman CYR"/>
        </w:rPr>
        <w:t xml:space="preserve">в сумме </w:t>
      </w:r>
      <w:r w:rsidR="00081426">
        <w:rPr>
          <w:rFonts w:ascii="Times New Roman CYR" w:hAnsi="Times New Roman CYR" w:cs="Times New Roman CYR"/>
        </w:rPr>
        <w:t>1</w:t>
      </w:r>
      <w:r w:rsidR="00F2510E">
        <w:rPr>
          <w:rFonts w:ascii="Times New Roman CYR" w:hAnsi="Times New Roman CYR" w:cs="Times New Roman CYR"/>
        </w:rPr>
        <w:t>2554,3</w:t>
      </w:r>
      <w:r w:rsidR="0008142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тыс. руб. Фактическое исполнение доходной части бюджета  от плановых показателей составило  </w:t>
      </w:r>
      <w:r w:rsidR="00081426">
        <w:rPr>
          <w:rFonts w:ascii="Times New Roman CYR" w:hAnsi="Times New Roman CYR" w:cs="Times New Roman CYR"/>
        </w:rPr>
        <w:t>10</w:t>
      </w:r>
      <w:r w:rsidR="00C3603F">
        <w:rPr>
          <w:rFonts w:ascii="Times New Roman CYR" w:hAnsi="Times New Roman CYR" w:cs="Times New Roman CYR"/>
        </w:rPr>
        <w:t>3</w:t>
      </w:r>
      <w:r w:rsidR="00F2510E">
        <w:rPr>
          <w:rFonts w:ascii="Times New Roman CYR" w:hAnsi="Times New Roman CYR" w:cs="Times New Roman CYR"/>
        </w:rPr>
        <w:t>,</w:t>
      </w:r>
      <w:r w:rsidR="00C3603F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%, что в сумме составляет </w:t>
      </w:r>
      <w:r>
        <w:rPr>
          <w:rFonts w:ascii="Times New Roman CYR" w:hAnsi="Times New Roman CYR" w:cs="Times New Roman CYR"/>
          <w:b/>
        </w:rPr>
        <w:t xml:space="preserve"> </w:t>
      </w:r>
      <w:r w:rsidR="00081426">
        <w:rPr>
          <w:lang w:eastAsia="en-US"/>
        </w:rPr>
        <w:t>13</w:t>
      </w:r>
      <w:r w:rsidR="00F2510E">
        <w:rPr>
          <w:lang w:eastAsia="en-US"/>
        </w:rPr>
        <w:t>036,2</w:t>
      </w:r>
      <w:r>
        <w:rPr>
          <w:rFonts w:ascii="Times New Roman CYR" w:hAnsi="Times New Roman CYR" w:cs="Times New Roman CYR"/>
        </w:rPr>
        <w:t xml:space="preserve"> тыс. руб.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доходов </w:t>
      </w:r>
      <w:r w:rsidR="00262B20">
        <w:rPr>
          <w:rFonts w:ascii="Times New Roman CYR" w:hAnsi="Times New Roman CYR" w:cs="Times New Roman CYR"/>
        </w:rPr>
        <w:t>Новорождественского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за 201</w:t>
      </w:r>
      <w:r w:rsidR="00C3603F">
        <w:rPr>
          <w:rFonts w:ascii="Times New Roman CYR" w:hAnsi="Times New Roman CYR" w:cs="Times New Roman CYR"/>
          <w:bCs/>
        </w:rPr>
        <w:t>6 год    представлено в таблице 1</w:t>
      </w:r>
      <w:r>
        <w:rPr>
          <w:rFonts w:ascii="Times New Roman CYR" w:hAnsi="Times New Roman CYR" w:cs="Times New Roman CYR"/>
          <w:bCs/>
        </w:rPr>
        <w:t>.</w:t>
      </w:r>
    </w:p>
    <w:p w:rsidR="00AE0243" w:rsidRDefault="00C3603F" w:rsidP="00AE0243">
      <w:pPr>
        <w:rPr>
          <w:sz w:val="20"/>
          <w:szCs w:val="20"/>
        </w:rPr>
      </w:pPr>
      <w:r>
        <w:t>Таблица 1</w:t>
      </w:r>
      <w:r w:rsidR="00AE0243">
        <w:t xml:space="preserve">                                                                                                                          тыс. руб.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3547"/>
        <w:gridCol w:w="1275"/>
        <w:gridCol w:w="1134"/>
        <w:gridCol w:w="1134"/>
      </w:tblGrid>
      <w:tr w:rsidR="00AE0243" w:rsidTr="00AE0243">
        <w:trPr>
          <w:cantSplit/>
          <w:trHeight w:val="36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7B3D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Плановые </w:t>
            </w:r>
            <w:r w:rsidR="00AE0243">
              <w:rPr>
                <w:sz w:val="20"/>
                <w:szCs w:val="20"/>
                <w:lang w:eastAsia="en-US"/>
              </w:rPr>
              <w:t xml:space="preserve">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sz w:val="20"/>
                <w:szCs w:val="20"/>
                <w:lang w:eastAsia="en-US"/>
              </w:rPr>
              <w:t>-нения</w:t>
            </w:r>
            <w:proofErr w:type="gramEnd"/>
          </w:p>
        </w:tc>
      </w:tr>
      <w:tr w:rsidR="00AE0243" w:rsidTr="00081FF9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Налоговые и неналоговые доходы, 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2A" w:rsidRDefault="00831C1B" w:rsidP="00B842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405C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405C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124,5</w:t>
            </w:r>
          </w:p>
        </w:tc>
      </w:tr>
      <w:tr w:rsidR="00AE0243" w:rsidTr="00081FF9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AE02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405C02" w:rsidP="00831C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  <w:r w:rsidR="00831C1B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,</w:t>
            </w:r>
            <w:r w:rsidR="00831C1B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405C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405C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123,2</w:t>
            </w:r>
          </w:p>
        </w:tc>
      </w:tr>
      <w:tr w:rsidR="00AE0243" w:rsidTr="00081FF9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052A99" w:rsidP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  <w:r w:rsidR="00C3603F">
              <w:rPr>
                <w:lang w:eastAsia="en-US"/>
              </w:rPr>
              <w:t>7</w:t>
            </w:r>
            <w:r>
              <w:rPr>
                <w:lang w:eastAsia="en-US"/>
              </w:rPr>
              <w:t>,</w:t>
            </w:r>
            <w:r w:rsidR="00C3603F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831C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</w:tr>
      <w:tr w:rsidR="00AE0243" w:rsidTr="00081FF9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831C1B" w:rsidP="00831C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148,0</w:t>
            </w:r>
          </w:p>
        </w:tc>
      </w:tr>
      <w:tr w:rsidR="00AE0243" w:rsidTr="00081FF9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52A99" w:rsidRDefault="00B842D8" w:rsidP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C3603F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52A99" w:rsidRDefault="00052A99" w:rsidP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C3603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52A99" w:rsidRDefault="00B842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AE0243" w:rsidTr="00081FF9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405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405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405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82,6</w:t>
            </w:r>
          </w:p>
        </w:tc>
      </w:tr>
      <w:tr w:rsidR="00AE0243" w:rsidTr="00081FF9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10601030100000110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405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87,7</w:t>
            </w:r>
          </w:p>
        </w:tc>
      </w:tr>
      <w:tr w:rsidR="00AE0243" w:rsidTr="00081FF9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52A99" w:rsidRDefault="00C3603F" w:rsidP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052A99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52A99" w:rsidRDefault="00C3603F" w:rsidP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052A99">
              <w:rPr>
                <w:lang w:eastAsia="en-US"/>
              </w:rPr>
              <w:t>3,</w:t>
            </w: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52A99" w:rsidRDefault="00405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81,1</w:t>
            </w:r>
          </w:p>
        </w:tc>
      </w:tr>
      <w:tr w:rsidR="00AE0243" w:rsidTr="00081FF9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AE02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6D33CD" w:rsidP="00C360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</w:t>
            </w:r>
            <w:r w:rsidR="00C3603F">
              <w:rPr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C360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D33CD">
              <w:rPr>
                <w:b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405C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356,4</w:t>
            </w:r>
          </w:p>
        </w:tc>
      </w:tr>
      <w:tr w:rsidR="00AE0243" w:rsidTr="00081FF9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052A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6218A" w:rsidRDefault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C3603F" w:rsidTr="00081FF9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3F" w:rsidRDefault="00C36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3F" w:rsidRDefault="00C3603F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3F" w:rsidRDefault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3F" w:rsidRDefault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3F" w:rsidRDefault="00C360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AE0243" w:rsidTr="00081FF9">
        <w:trPr>
          <w:cantSplit/>
          <w:trHeight w:val="2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81426" w:rsidRDefault="00081426" w:rsidP="00C360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3603F">
              <w:rPr>
                <w:b/>
                <w:lang w:eastAsia="en-US"/>
              </w:rPr>
              <w:t>0530,1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81426" w:rsidRDefault="00081426" w:rsidP="00C360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3603F">
              <w:rPr>
                <w:b/>
                <w:lang w:eastAsia="en-US"/>
              </w:rPr>
              <w:t>0515,4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81426" w:rsidRDefault="00C360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99,9</w:t>
            </w:r>
          </w:p>
        </w:tc>
      </w:tr>
      <w:tr w:rsidR="00AE0243" w:rsidTr="00081FF9">
        <w:trPr>
          <w:cantSplit/>
          <w:trHeight w:val="33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AE0243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81426" w:rsidRDefault="00C360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81426" w:rsidRDefault="00C360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Pr="00081426" w:rsidRDefault="00081426" w:rsidP="00C360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C3603F">
              <w:rPr>
                <w:b/>
                <w:lang w:eastAsia="en-US"/>
              </w:rPr>
              <w:t>3,8</w:t>
            </w:r>
          </w:p>
        </w:tc>
      </w:tr>
    </w:tbl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</w:rPr>
        <w:t>Основным источн</w:t>
      </w:r>
      <w:r w:rsidR="00D31DD5">
        <w:rPr>
          <w:rFonts w:ascii="Times New Roman CYR" w:hAnsi="Times New Roman CYR" w:cs="Times New Roman CYR"/>
        </w:rPr>
        <w:t>иком формирования доходов явились акцизы по подакцизным товарам</w:t>
      </w:r>
      <w:r w:rsidR="006D33CD">
        <w:rPr>
          <w:rFonts w:ascii="Times New Roman CYR" w:hAnsi="Times New Roman CYR" w:cs="Times New Roman CYR"/>
        </w:rPr>
        <w:t>,</w:t>
      </w:r>
      <w:r w:rsidR="00D31DD5">
        <w:rPr>
          <w:rFonts w:ascii="Times New Roman CYR" w:hAnsi="Times New Roman CYR" w:cs="Times New Roman CYR"/>
        </w:rPr>
        <w:t xml:space="preserve"> </w:t>
      </w:r>
      <w:r w:rsidR="006D33CD">
        <w:rPr>
          <w:rFonts w:ascii="Times New Roman CYR" w:hAnsi="Times New Roman CYR" w:cs="Times New Roman CYR"/>
        </w:rPr>
        <w:t>п</w:t>
      </w:r>
      <w:r w:rsidR="00D31DD5">
        <w:rPr>
          <w:rFonts w:ascii="Times New Roman CYR" w:hAnsi="Times New Roman CYR" w:cs="Times New Roman CYR"/>
        </w:rPr>
        <w:t>роизводимым на территории Российской Федерации  в сумме 1</w:t>
      </w:r>
      <w:r w:rsidR="00831C1B">
        <w:rPr>
          <w:rFonts w:ascii="Times New Roman CYR" w:hAnsi="Times New Roman CYR" w:cs="Times New Roman CYR"/>
        </w:rPr>
        <w:t>584,0</w:t>
      </w:r>
      <w:r w:rsidR="00D31DD5">
        <w:rPr>
          <w:rFonts w:ascii="Times New Roman CYR" w:hAnsi="Times New Roman CYR" w:cs="Times New Roman CYR"/>
        </w:rPr>
        <w:t xml:space="preserve"> тыс. руб., что составило 1</w:t>
      </w:r>
      <w:r w:rsidR="00831C1B">
        <w:rPr>
          <w:rFonts w:ascii="Times New Roman CYR" w:hAnsi="Times New Roman CYR" w:cs="Times New Roman CYR"/>
        </w:rPr>
        <w:t>48,0</w:t>
      </w:r>
      <w:r>
        <w:rPr>
          <w:rFonts w:ascii="Times New Roman CYR" w:hAnsi="Times New Roman CYR" w:cs="Times New Roman CYR"/>
        </w:rPr>
        <w:t>%</w:t>
      </w:r>
      <w:r w:rsidR="006D33CD">
        <w:rPr>
          <w:rFonts w:ascii="Times New Roman CYR" w:hAnsi="Times New Roman CYR" w:cs="Times New Roman CYR"/>
        </w:rPr>
        <w:t xml:space="preserve"> к плану. Доля акцизов по </w:t>
      </w:r>
      <w:proofErr w:type="gramStart"/>
      <w:r w:rsidR="006D33CD">
        <w:rPr>
          <w:rFonts w:ascii="Times New Roman CYR" w:hAnsi="Times New Roman CYR" w:cs="Times New Roman CYR"/>
        </w:rPr>
        <w:t>подакцизным товарам, производимым на территории Российской Федерации</w:t>
      </w:r>
      <w:r>
        <w:rPr>
          <w:rFonts w:ascii="Times New Roman CYR" w:hAnsi="Times New Roman CYR" w:cs="Times New Roman CYR"/>
        </w:rPr>
        <w:t xml:space="preserve"> в объеме налоговых и нена</w:t>
      </w:r>
      <w:r w:rsidR="00831C1B">
        <w:rPr>
          <w:rFonts w:ascii="Times New Roman CYR" w:hAnsi="Times New Roman CYR" w:cs="Times New Roman CYR"/>
        </w:rPr>
        <w:t>логовых доходов составила</w:t>
      </w:r>
      <w:proofErr w:type="gramEnd"/>
      <w:r w:rsidR="00831C1B">
        <w:rPr>
          <w:rFonts w:ascii="Times New Roman CYR" w:hAnsi="Times New Roman CYR" w:cs="Times New Roman CYR"/>
        </w:rPr>
        <w:t xml:space="preserve"> 6</w:t>
      </w:r>
      <w:r w:rsidR="006D33CD">
        <w:rPr>
          <w:rFonts w:ascii="Times New Roman CYR" w:hAnsi="Times New Roman CYR" w:cs="Times New Roman CYR"/>
        </w:rPr>
        <w:t>2,</w:t>
      </w:r>
      <w:r w:rsidR="00831C1B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%. Далее идет налог  на доходы физических лиц в сумме  </w:t>
      </w:r>
      <w:r w:rsidR="00831C1B">
        <w:rPr>
          <w:lang w:eastAsia="en-US"/>
        </w:rPr>
        <w:t>677</w:t>
      </w:r>
      <w:r w:rsidR="006D33CD">
        <w:rPr>
          <w:lang w:eastAsia="en-US"/>
        </w:rPr>
        <w:t>,</w:t>
      </w:r>
      <w:r w:rsidR="00831C1B">
        <w:rPr>
          <w:lang w:eastAsia="en-US"/>
        </w:rPr>
        <w:t>9</w:t>
      </w:r>
      <w:r>
        <w:rPr>
          <w:lang w:eastAsia="en-US"/>
        </w:rPr>
        <w:t xml:space="preserve"> </w:t>
      </w:r>
      <w:r w:rsidR="006D33CD">
        <w:rPr>
          <w:rFonts w:ascii="Times New Roman CYR" w:hAnsi="Times New Roman CYR" w:cs="Times New Roman CYR"/>
        </w:rPr>
        <w:t xml:space="preserve">тыс. руб., что составило </w:t>
      </w:r>
      <w:r w:rsidR="00831C1B">
        <w:rPr>
          <w:rFonts w:ascii="Times New Roman CYR" w:hAnsi="Times New Roman CYR" w:cs="Times New Roman CYR"/>
        </w:rPr>
        <w:t>99,9</w:t>
      </w:r>
      <w:r>
        <w:rPr>
          <w:rFonts w:ascii="Times New Roman CYR" w:hAnsi="Times New Roman CYR" w:cs="Times New Roman CYR"/>
        </w:rPr>
        <w:t xml:space="preserve">% к плану. </w:t>
      </w:r>
      <w:proofErr w:type="gramStart"/>
      <w:r>
        <w:rPr>
          <w:rFonts w:ascii="Times New Roman CYR" w:hAnsi="Times New Roman CYR" w:cs="Times New Roman CYR"/>
        </w:rPr>
        <w:t>Доля  налога на доходы физических лиц в объеме налоговых и не</w:t>
      </w:r>
      <w:r w:rsidR="006D33CD">
        <w:rPr>
          <w:rFonts w:ascii="Times New Roman CYR" w:hAnsi="Times New Roman CYR" w:cs="Times New Roman CYR"/>
        </w:rPr>
        <w:t xml:space="preserve">налоговых доходов составила </w:t>
      </w:r>
      <w:r w:rsidR="00831C1B">
        <w:rPr>
          <w:rFonts w:ascii="Times New Roman CYR" w:hAnsi="Times New Roman CYR" w:cs="Times New Roman CYR"/>
        </w:rPr>
        <w:t>26,9</w:t>
      </w:r>
      <w:r>
        <w:rPr>
          <w:rFonts w:ascii="Times New Roman CYR" w:hAnsi="Times New Roman CYR" w:cs="Times New Roman CYR"/>
        </w:rPr>
        <w:t xml:space="preserve">%. Налоги на имущество физических лиц в сумме </w:t>
      </w:r>
      <w:r w:rsidR="00831C1B">
        <w:rPr>
          <w:lang w:eastAsia="en-US"/>
        </w:rPr>
        <w:lastRenderedPageBreak/>
        <w:t>217,2</w:t>
      </w:r>
      <w:r w:rsidR="006D33CD">
        <w:rPr>
          <w:lang w:eastAsia="en-US"/>
        </w:rPr>
        <w:t xml:space="preserve"> тыс. руб. (или </w:t>
      </w:r>
      <w:r w:rsidR="001B1CF7">
        <w:rPr>
          <w:lang w:eastAsia="en-US"/>
        </w:rPr>
        <w:t>82,6</w:t>
      </w:r>
      <w:r>
        <w:rPr>
          <w:lang w:eastAsia="en-US"/>
        </w:rPr>
        <w:t>% к плану) в объеме налоговых и не</w:t>
      </w:r>
      <w:r w:rsidR="006D33CD">
        <w:rPr>
          <w:lang w:eastAsia="en-US"/>
        </w:rPr>
        <w:t>н</w:t>
      </w:r>
      <w:r w:rsidR="001B1CF7">
        <w:rPr>
          <w:lang w:eastAsia="en-US"/>
        </w:rPr>
        <w:t>алоговых доходов составляют 8,6</w:t>
      </w:r>
      <w:r>
        <w:rPr>
          <w:lang w:eastAsia="en-US"/>
        </w:rPr>
        <w:t>%. Доходы от использования имущества, находящегося в государственной и муниципальн</w:t>
      </w:r>
      <w:r w:rsidR="006D33CD">
        <w:rPr>
          <w:lang w:eastAsia="en-US"/>
        </w:rPr>
        <w:t>ой собственности, в сумме  11,7</w:t>
      </w:r>
      <w:r>
        <w:rPr>
          <w:lang w:eastAsia="en-US"/>
        </w:rPr>
        <w:t xml:space="preserve"> тыс. руб. в объеме налоговых и нен</w:t>
      </w:r>
      <w:r w:rsidR="006D33CD">
        <w:rPr>
          <w:lang w:eastAsia="en-US"/>
        </w:rPr>
        <w:t>алоговых доходов составляют  0,</w:t>
      </w:r>
      <w:r w:rsidR="001B1CF7">
        <w:rPr>
          <w:lang w:eastAsia="en-US"/>
        </w:rPr>
        <w:t>6</w:t>
      </w:r>
      <w:r>
        <w:rPr>
          <w:lang w:eastAsia="en-US"/>
        </w:rPr>
        <w:t>%.</w:t>
      </w:r>
      <w:proofErr w:type="gramEnd"/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структуре доходов </w:t>
      </w:r>
      <w:r w:rsidR="00262B20">
        <w:rPr>
          <w:rFonts w:ascii="Times New Roman CYR" w:hAnsi="Times New Roman CYR" w:cs="Times New Roman CYR"/>
        </w:rPr>
        <w:t>Новорождественского</w:t>
      </w:r>
      <w:r>
        <w:rPr>
          <w:rFonts w:ascii="Times New Roman CYR" w:hAnsi="Times New Roman CYR" w:cs="Times New Roman CYR"/>
        </w:rPr>
        <w:t xml:space="preserve"> сельского поселения доля налоговых и ненал</w:t>
      </w:r>
      <w:r w:rsidR="006D33CD">
        <w:rPr>
          <w:rFonts w:ascii="Times New Roman CYR" w:hAnsi="Times New Roman CYR" w:cs="Times New Roman CYR"/>
        </w:rPr>
        <w:t>оговых доходов составила    1</w:t>
      </w:r>
      <w:r w:rsidR="00F91466">
        <w:rPr>
          <w:rFonts w:ascii="Times New Roman CYR" w:hAnsi="Times New Roman CYR" w:cs="Times New Roman CYR"/>
        </w:rPr>
        <w:t>9</w:t>
      </w:r>
      <w:r w:rsidR="001B1CF7">
        <w:rPr>
          <w:rFonts w:ascii="Times New Roman CYR" w:hAnsi="Times New Roman CYR" w:cs="Times New Roman CYR"/>
        </w:rPr>
        <w:t>,3</w:t>
      </w:r>
      <w:r>
        <w:rPr>
          <w:rFonts w:ascii="Times New Roman CYR" w:hAnsi="Times New Roman CYR" w:cs="Times New Roman CYR"/>
        </w:rPr>
        <w:t>%,</w:t>
      </w:r>
      <w:r w:rsidR="006D33CD">
        <w:rPr>
          <w:rFonts w:ascii="Times New Roman CYR" w:hAnsi="Times New Roman CYR" w:cs="Times New Roman CYR"/>
        </w:rPr>
        <w:t xml:space="preserve"> что в сумме составляет  2</w:t>
      </w:r>
      <w:r w:rsidR="001B1CF7">
        <w:rPr>
          <w:rFonts w:ascii="Times New Roman CYR" w:hAnsi="Times New Roman CYR" w:cs="Times New Roman CYR"/>
        </w:rPr>
        <w:t>5</w:t>
      </w:r>
      <w:r w:rsidR="006D33CD">
        <w:rPr>
          <w:rFonts w:ascii="Times New Roman CYR" w:hAnsi="Times New Roman CYR" w:cs="Times New Roman CYR"/>
        </w:rPr>
        <w:t>2</w:t>
      </w:r>
      <w:r w:rsidR="001B1CF7">
        <w:rPr>
          <w:rFonts w:ascii="Times New Roman CYR" w:hAnsi="Times New Roman CYR" w:cs="Times New Roman CYR"/>
        </w:rPr>
        <w:t>0</w:t>
      </w:r>
      <w:r w:rsidR="006D33CD">
        <w:rPr>
          <w:rFonts w:ascii="Times New Roman CYR" w:hAnsi="Times New Roman CYR" w:cs="Times New Roman CYR"/>
        </w:rPr>
        <w:t>,</w:t>
      </w:r>
      <w:r w:rsidR="001B1CF7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тыс. руб.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налоговым доходам плановые назначения выполнены на</w:t>
      </w:r>
      <w:r w:rsidR="006D33CD">
        <w:rPr>
          <w:rFonts w:ascii="Times New Roman CYR" w:hAnsi="Times New Roman CYR" w:cs="Times New Roman CYR"/>
        </w:rPr>
        <w:t xml:space="preserve"> 1</w:t>
      </w:r>
      <w:r w:rsidR="001B1CF7">
        <w:rPr>
          <w:rFonts w:ascii="Times New Roman CYR" w:hAnsi="Times New Roman CYR" w:cs="Times New Roman CYR"/>
        </w:rPr>
        <w:t>2</w:t>
      </w:r>
      <w:r w:rsidR="006D33CD">
        <w:rPr>
          <w:rFonts w:ascii="Times New Roman CYR" w:hAnsi="Times New Roman CYR" w:cs="Times New Roman CYR"/>
        </w:rPr>
        <w:t>3</w:t>
      </w:r>
      <w:r w:rsidR="001B1CF7">
        <w:rPr>
          <w:rFonts w:ascii="Times New Roman CYR" w:hAnsi="Times New Roman CYR" w:cs="Times New Roman CYR"/>
        </w:rPr>
        <w:t>,2</w:t>
      </w:r>
      <w:r>
        <w:rPr>
          <w:rFonts w:ascii="Times New Roman CYR" w:hAnsi="Times New Roman CYR" w:cs="Times New Roman CYR"/>
        </w:rPr>
        <w:t>%.  Доля налоговых доходов в общ</w:t>
      </w:r>
      <w:r w:rsidR="006D33CD">
        <w:rPr>
          <w:rFonts w:ascii="Times New Roman CYR" w:hAnsi="Times New Roman CYR" w:cs="Times New Roman CYR"/>
        </w:rPr>
        <w:t>ем объеме доходов составила 19</w:t>
      </w:r>
      <w:r w:rsidR="001B1CF7">
        <w:rPr>
          <w:rFonts w:ascii="Times New Roman CYR" w:hAnsi="Times New Roman CYR" w:cs="Times New Roman CYR"/>
        </w:rPr>
        <w:t>,0</w:t>
      </w:r>
      <w:r>
        <w:rPr>
          <w:rFonts w:ascii="Times New Roman CYR" w:hAnsi="Times New Roman CYR" w:cs="Times New Roman CYR"/>
        </w:rPr>
        <w:t xml:space="preserve"> % или  </w:t>
      </w:r>
      <w:r w:rsidR="006D33CD">
        <w:rPr>
          <w:lang w:eastAsia="en-US"/>
        </w:rPr>
        <w:t>2</w:t>
      </w:r>
      <w:r w:rsidR="001B1CF7">
        <w:rPr>
          <w:lang w:eastAsia="en-US"/>
        </w:rPr>
        <w:t>479,1</w:t>
      </w:r>
      <w:r>
        <w:t xml:space="preserve"> </w:t>
      </w:r>
      <w:r>
        <w:rPr>
          <w:rFonts w:ascii="Times New Roman CYR" w:hAnsi="Times New Roman CYR" w:cs="Times New Roman CYR"/>
        </w:rPr>
        <w:t>тыс. руб. По неналоговым доходам планов</w:t>
      </w:r>
      <w:r w:rsidR="001B1CF7">
        <w:rPr>
          <w:rFonts w:ascii="Times New Roman CYR" w:hAnsi="Times New Roman CYR" w:cs="Times New Roman CYR"/>
        </w:rPr>
        <w:t>ые назначения выполнены на 356,4</w:t>
      </w:r>
      <w:r>
        <w:rPr>
          <w:rFonts w:ascii="Times New Roman CYR" w:hAnsi="Times New Roman CYR" w:cs="Times New Roman CYR"/>
        </w:rPr>
        <w:t xml:space="preserve">%. Доля неналоговых доходов в </w:t>
      </w:r>
      <w:r w:rsidR="006D33CD">
        <w:rPr>
          <w:rFonts w:ascii="Times New Roman CYR" w:hAnsi="Times New Roman CYR" w:cs="Times New Roman CYR"/>
        </w:rPr>
        <w:t>общем объеме доходов составила 0</w:t>
      </w:r>
      <w:r w:rsidR="001B1CF7">
        <w:rPr>
          <w:rFonts w:ascii="Times New Roman CYR" w:hAnsi="Times New Roman CYR" w:cs="Times New Roman CYR"/>
        </w:rPr>
        <w:t>,32</w:t>
      </w:r>
      <w:r>
        <w:rPr>
          <w:rFonts w:ascii="Times New Roman CYR" w:hAnsi="Times New Roman CYR" w:cs="Times New Roman CYR"/>
        </w:rPr>
        <w:t xml:space="preserve">% или   </w:t>
      </w:r>
      <w:r w:rsidR="001B1CF7">
        <w:rPr>
          <w:rFonts w:ascii="Times New Roman CYR" w:hAnsi="Times New Roman CYR" w:cs="Times New Roman CYR"/>
        </w:rPr>
        <w:t>4</w:t>
      </w:r>
      <w:r w:rsidR="006D33CD">
        <w:t>1,7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</w:p>
    <w:p w:rsidR="00AE0243" w:rsidRDefault="00AE0243" w:rsidP="00F91466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Безвозмездн</w:t>
      </w:r>
      <w:r w:rsidR="001B1CF7">
        <w:rPr>
          <w:rFonts w:ascii="Times New Roman CYR" w:hAnsi="Times New Roman CYR" w:cs="Times New Roman CYR"/>
        </w:rPr>
        <w:t>ые поступления выполнены на 99,9</w:t>
      </w:r>
      <w:r w:rsidR="006D33CD">
        <w:rPr>
          <w:rFonts w:ascii="Times New Roman CYR" w:hAnsi="Times New Roman CYR" w:cs="Times New Roman CYR"/>
        </w:rPr>
        <w:t>% и составляют 8</w:t>
      </w:r>
      <w:r w:rsidR="001B1CF7">
        <w:rPr>
          <w:rFonts w:ascii="Times New Roman CYR" w:hAnsi="Times New Roman CYR" w:cs="Times New Roman CYR"/>
        </w:rPr>
        <w:t>0,7</w:t>
      </w:r>
      <w:r>
        <w:rPr>
          <w:rFonts w:ascii="Times New Roman CYR" w:hAnsi="Times New Roman CYR" w:cs="Times New Roman CYR"/>
        </w:rPr>
        <w:t>% в общем объеме доходов,</w:t>
      </w:r>
      <w:r w:rsidR="001B1CF7">
        <w:rPr>
          <w:rFonts w:ascii="Times New Roman CYR" w:hAnsi="Times New Roman CYR" w:cs="Times New Roman CYR"/>
        </w:rPr>
        <w:t xml:space="preserve"> что в сумме составляет  10515,4</w:t>
      </w:r>
      <w:r w:rsidR="00F91466">
        <w:rPr>
          <w:rFonts w:ascii="Times New Roman CYR" w:hAnsi="Times New Roman CYR" w:cs="Times New Roman CYR"/>
        </w:rPr>
        <w:t xml:space="preserve"> тыс. руб</w:t>
      </w:r>
      <w:r w:rsidR="001B1CF7">
        <w:rPr>
          <w:rFonts w:ascii="Times New Roman CYR" w:hAnsi="Times New Roman CYR" w:cs="Times New Roman CYR"/>
        </w:rPr>
        <w:t>лей</w:t>
      </w:r>
      <w:r w:rsidR="00F91466">
        <w:rPr>
          <w:rFonts w:ascii="Times New Roman CYR" w:hAnsi="Times New Roman CYR" w:cs="Times New Roman CYR"/>
        </w:rPr>
        <w:t>.</w:t>
      </w:r>
    </w:p>
    <w:p w:rsidR="00F91466" w:rsidRDefault="00F91466" w:rsidP="00F91466">
      <w:pPr>
        <w:ind w:firstLine="709"/>
        <w:jc w:val="both"/>
        <w:rPr>
          <w:rFonts w:ascii="Times New Roman CYR" w:hAnsi="Times New Roman CYR" w:cs="Times New Roman CYR"/>
        </w:rPr>
      </w:pPr>
    </w:p>
    <w:p w:rsidR="00AE0243" w:rsidRDefault="00AE0243" w:rsidP="00AE0243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AE0243" w:rsidRDefault="00AE0243" w:rsidP="00AE0243">
      <w:pPr>
        <w:rPr>
          <w:rFonts w:ascii="Times New Roman CYR" w:hAnsi="Times New Roman CYR" w:cs="Times New Roman CYR"/>
          <w:b/>
        </w:rPr>
      </w:pPr>
    </w:p>
    <w:p w:rsidR="00AE0243" w:rsidRDefault="00AE0243" w:rsidP="00C700FC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Общий объем расходов </w:t>
      </w:r>
      <w:r w:rsidR="00262B20">
        <w:rPr>
          <w:rFonts w:ascii="Times New Roman CYR" w:hAnsi="Times New Roman CYR" w:cs="Times New Roman CYR"/>
        </w:rPr>
        <w:t xml:space="preserve">Новорождественского </w:t>
      </w:r>
      <w:r>
        <w:rPr>
          <w:rFonts w:ascii="Times New Roman CYR" w:hAnsi="Times New Roman CYR" w:cs="Times New Roman CYR"/>
        </w:rPr>
        <w:t xml:space="preserve">сельского поселения  был </w:t>
      </w:r>
      <w:r w:rsidR="00E55C97">
        <w:rPr>
          <w:rFonts w:ascii="Times New Roman CYR" w:hAnsi="Times New Roman CYR" w:cs="Times New Roman CYR"/>
        </w:rPr>
        <w:t>запланирован</w:t>
      </w:r>
      <w:r>
        <w:rPr>
          <w:rFonts w:ascii="Times New Roman CYR" w:hAnsi="Times New Roman CYR" w:cs="Times New Roman CYR"/>
        </w:rPr>
        <w:t xml:space="preserve"> в сумме </w:t>
      </w:r>
      <w:r w:rsidR="00E55C97">
        <w:rPr>
          <w:rFonts w:ascii="Times New Roman CYR" w:hAnsi="Times New Roman CYR" w:cs="Times New Roman CYR"/>
        </w:rPr>
        <w:t>12503,1</w:t>
      </w:r>
      <w:r w:rsidR="00F9146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тыс. руб. Фактическое исполнение расходной части</w:t>
      </w:r>
      <w:r w:rsidR="00E55C97">
        <w:rPr>
          <w:rFonts w:ascii="Times New Roman CYR" w:hAnsi="Times New Roman CYR" w:cs="Times New Roman CYR"/>
        </w:rPr>
        <w:t xml:space="preserve">  от плановых показателей</w:t>
      </w:r>
      <w:r>
        <w:rPr>
          <w:rFonts w:ascii="Times New Roman CYR" w:hAnsi="Times New Roman CYR" w:cs="Times New Roman CYR"/>
        </w:rPr>
        <w:t xml:space="preserve"> составило </w:t>
      </w:r>
      <w:r w:rsidR="00E55C97">
        <w:rPr>
          <w:rFonts w:ascii="Times New Roman CYR" w:hAnsi="Times New Roman CYR" w:cs="Times New Roman CYR"/>
        </w:rPr>
        <w:t>99,4</w:t>
      </w:r>
      <w:r w:rsidRPr="00F91466">
        <w:rPr>
          <w:rFonts w:ascii="Times New Roman CYR" w:hAnsi="Times New Roman CYR" w:cs="Times New Roman CYR"/>
          <w:b/>
        </w:rPr>
        <w:t>%</w:t>
      </w:r>
      <w:r w:rsidRPr="00F91466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что в сумме составляет  </w:t>
      </w:r>
      <w:r w:rsidR="00E55C97">
        <w:rPr>
          <w:lang w:eastAsia="en-US"/>
        </w:rPr>
        <w:t>12431,0</w:t>
      </w:r>
      <w:r w:rsidR="00C700FC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>тыс. руб</w:t>
      </w:r>
      <w:proofErr w:type="gramStart"/>
      <w:r>
        <w:rPr>
          <w:rFonts w:ascii="Times New Roman CYR" w:hAnsi="Times New Roman CYR" w:cs="Times New Roman CYR"/>
        </w:rPr>
        <w:t>..</w:t>
      </w:r>
      <w:proofErr w:type="gramEnd"/>
    </w:p>
    <w:p w:rsidR="008A4365" w:rsidRDefault="00AE0243" w:rsidP="008A4365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r w:rsidR="00262B20">
        <w:rPr>
          <w:rFonts w:ascii="Times New Roman CYR" w:hAnsi="Times New Roman CYR" w:cs="Times New Roman CYR"/>
        </w:rPr>
        <w:t>Новорождественского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за 2015 год по функциональной классифик</w:t>
      </w:r>
      <w:r w:rsidR="00B969A1">
        <w:rPr>
          <w:rFonts w:ascii="Times New Roman CYR" w:hAnsi="Times New Roman CYR" w:cs="Times New Roman CYR"/>
          <w:bCs/>
        </w:rPr>
        <w:t xml:space="preserve">ации   представлено в таблице </w:t>
      </w:r>
      <w:r w:rsidR="00E40A80">
        <w:rPr>
          <w:rFonts w:ascii="Times New Roman CYR" w:hAnsi="Times New Roman CYR" w:cs="Times New Roman CYR"/>
          <w:bCs/>
        </w:rPr>
        <w:t>2</w:t>
      </w:r>
      <w:r w:rsidR="008A4365">
        <w:rPr>
          <w:rFonts w:ascii="Times New Roman CYR" w:hAnsi="Times New Roman CYR" w:cs="Times New Roman CYR"/>
          <w:bCs/>
        </w:rPr>
        <w:t xml:space="preserve">  </w:t>
      </w:r>
    </w:p>
    <w:p w:rsidR="00E55C97" w:rsidRDefault="00E40A80" w:rsidP="00D0277D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</w:rPr>
        <w:t>Таблица 2</w:t>
      </w:r>
      <w:r w:rsidR="00AE0243">
        <w:rPr>
          <w:rFonts w:ascii="Times New Roman CYR" w:hAnsi="Times New Roman CYR" w:cs="Times New Roman CYR"/>
        </w:rPr>
        <w:t xml:space="preserve">                                                                             </w:t>
      </w:r>
      <w:r w:rsidR="008A4365">
        <w:rPr>
          <w:rFonts w:ascii="Times New Roman CYR" w:hAnsi="Times New Roman CYR" w:cs="Times New Roman CYR"/>
        </w:rPr>
        <w:t xml:space="preserve">                          </w:t>
      </w:r>
      <w:r w:rsidR="00AE0243">
        <w:rPr>
          <w:rFonts w:ascii="Times New Roman CYR" w:hAnsi="Times New Roman CYR" w:cs="Times New Roman CYR"/>
        </w:rPr>
        <w:t xml:space="preserve">  тыс. руб.</w:t>
      </w:r>
      <w:r w:rsidR="00AE0243">
        <w:rPr>
          <w:rFonts w:ascii="Times New Roman CYR" w:hAnsi="Times New Roman CYR" w:cs="Times New Roman CYR"/>
          <w:bCs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07"/>
        <w:gridCol w:w="860"/>
        <w:gridCol w:w="1132"/>
        <w:gridCol w:w="991"/>
        <w:gridCol w:w="1132"/>
        <w:gridCol w:w="991"/>
        <w:gridCol w:w="958"/>
      </w:tblGrid>
      <w:tr w:rsidR="008D1A8E" w:rsidTr="00CC6BC7">
        <w:tc>
          <w:tcPr>
            <w:tcW w:w="3507" w:type="dxa"/>
            <w:vMerge w:val="restart"/>
          </w:tcPr>
          <w:p w:rsidR="008D1A8E" w:rsidRDefault="008D1A8E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Наименование </w:t>
            </w:r>
          </w:p>
        </w:tc>
        <w:tc>
          <w:tcPr>
            <w:tcW w:w="860" w:type="dxa"/>
            <w:vMerge w:val="restart"/>
          </w:tcPr>
          <w:p w:rsidR="008D1A8E" w:rsidRDefault="008D1A8E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КФСР</w:t>
            </w:r>
          </w:p>
        </w:tc>
        <w:tc>
          <w:tcPr>
            <w:tcW w:w="2123" w:type="dxa"/>
            <w:gridSpan w:val="2"/>
          </w:tcPr>
          <w:p w:rsidR="008D1A8E" w:rsidRDefault="008D1A8E" w:rsidP="008D1A8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План </w:t>
            </w:r>
          </w:p>
          <w:p w:rsidR="008D1A8E" w:rsidRDefault="008D1A8E" w:rsidP="007B3D8C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 201</w:t>
            </w:r>
            <w:r w:rsidR="007B3D8C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2123" w:type="dxa"/>
            <w:gridSpan w:val="2"/>
          </w:tcPr>
          <w:p w:rsidR="008D1A8E" w:rsidRDefault="008D1A8E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Фактически исполнено за 2015 год</w:t>
            </w:r>
          </w:p>
        </w:tc>
        <w:tc>
          <w:tcPr>
            <w:tcW w:w="958" w:type="dxa"/>
            <w:vMerge w:val="restart"/>
          </w:tcPr>
          <w:p w:rsidR="008D1A8E" w:rsidRDefault="008D1A8E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испол</w:t>
            </w:r>
            <w:proofErr w:type="spellEnd"/>
          </w:p>
          <w:p w:rsidR="008D1A8E" w:rsidRDefault="008D1A8E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нения</w:t>
            </w:r>
          </w:p>
        </w:tc>
      </w:tr>
      <w:tr w:rsidR="008D1A8E" w:rsidTr="00CC6BC7">
        <w:tc>
          <w:tcPr>
            <w:tcW w:w="3507" w:type="dxa"/>
            <w:vMerge/>
          </w:tcPr>
          <w:p w:rsidR="008D1A8E" w:rsidRDefault="008D1A8E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60" w:type="dxa"/>
            <w:vMerge/>
          </w:tcPr>
          <w:p w:rsidR="008D1A8E" w:rsidRDefault="008D1A8E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132" w:type="dxa"/>
          </w:tcPr>
          <w:p w:rsidR="008D1A8E" w:rsidRDefault="008D1A8E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  <w:tc>
          <w:tcPr>
            <w:tcW w:w="991" w:type="dxa"/>
          </w:tcPr>
          <w:p w:rsidR="008D1A8E" w:rsidRDefault="008D1A8E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доля %</w:t>
            </w:r>
          </w:p>
        </w:tc>
        <w:tc>
          <w:tcPr>
            <w:tcW w:w="1132" w:type="dxa"/>
          </w:tcPr>
          <w:p w:rsidR="008D1A8E" w:rsidRDefault="008D1A8E" w:rsidP="00561856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  <w:tc>
          <w:tcPr>
            <w:tcW w:w="991" w:type="dxa"/>
          </w:tcPr>
          <w:p w:rsidR="008D1A8E" w:rsidRDefault="008D1A8E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доля %</w:t>
            </w:r>
          </w:p>
        </w:tc>
        <w:tc>
          <w:tcPr>
            <w:tcW w:w="958" w:type="dxa"/>
            <w:vMerge/>
          </w:tcPr>
          <w:p w:rsidR="008D1A8E" w:rsidRDefault="008D1A8E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8D1A8E" w:rsidTr="00895F56">
        <w:tc>
          <w:tcPr>
            <w:tcW w:w="3507" w:type="dxa"/>
          </w:tcPr>
          <w:p w:rsidR="008D1A8E" w:rsidRDefault="008D1A8E" w:rsidP="00561856">
            <w:pPr>
              <w:spacing w:line="240" w:lineRule="atLeast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60" w:type="dxa"/>
            <w:vAlign w:val="center"/>
          </w:tcPr>
          <w:p w:rsidR="008D1A8E" w:rsidRDefault="008630DB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0100</w:t>
            </w: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4248,1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34,0</w:t>
            </w: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4241,4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34,1</w:t>
            </w:r>
          </w:p>
        </w:tc>
        <w:tc>
          <w:tcPr>
            <w:tcW w:w="958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99,9</w:t>
            </w:r>
          </w:p>
        </w:tc>
      </w:tr>
      <w:tr w:rsidR="008D1A8E" w:rsidTr="00895F56">
        <w:tc>
          <w:tcPr>
            <w:tcW w:w="3507" w:type="dxa"/>
          </w:tcPr>
          <w:p w:rsidR="008D1A8E" w:rsidRDefault="008630DB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860" w:type="dxa"/>
            <w:vAlign w:val="center"/>
          </w:tcPr>
          <w:p w:rsidR="008D1A8E" w:rsidRDefault="008630DB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0200</w:t>
            </w: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71,6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0,6</w:t>
            </w: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71,6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0,6</w:t>
            </w:r>
          </w:p>
        </w:tc>
        <w:tc>
          <w:tcPr>
            <w:tcW w:w="958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</w:tr>
      <w:tr w:rsidR="008D1A8E" w:rsidTr="00895F56">
        <w:tc>
          <w:tcPr>
            <w:tcW w:w="3507" w:type="dxa"/>
          </w:tcPr>
          <w:p w:rsidR="008D1A8E" w:rsidRDefault="008630DB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vAlign w:val="center"/>
          </w:tcPr>
          <w:p w:rsidR="008D1A8E" w:rsidRDefault="008630DB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0300</w:t>
            </w:r>
          </w:p>
          <w:p w:rsidR="008630DB" w:rsidRDefault="008630DB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10,2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0,1</w:t>
            </w: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10,2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0,1</w:t>
            </w:r>
          </w:p>
        </w:tc>
        <w:tc>
          <w:tcPr>
            <w:tcW w:w="958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</w:tr>
      <w:tr w:rsidR="008D1A8E" w:rsidTr="00895F56">
        <w:tc>
          <w:tcPr>
            <w:tcW w:w="3507" w:type="dxa"/>
          </w:tcPr>
          <w:p w:rsidR="008D1A8E" w:rsidRDefault="008630DB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60" w:type="dxa"/>
            <w:vAlign w:val="center"/>
          </w:tcPr>
          <w:p w:rsidR="008D1A8E" w:rsidRDefault="008630DB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0400</w:t>
            </w: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1354,5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10,8</w:t>
            </w: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1354,4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10,8</w:t>
            </w:r>
          </w:p>
        </w:tc>
        <w:tc>
          <w:tcPr>
            <w:tcW w:w="958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</w:tr>
      <w:tr w:rsidR="008D1A8E" w:rsidTr="00895F56">
        <w:tc>
          <w:tcPr>
            <w:tcW w:w="3507" w:type="dxa"/>
          </w:tcPr>
          <w:p w:rsidR="008D1A8E" w:rsidRDefault="008630DB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60" w:type="dxa"/>
            <w:vAlign w:val="center"/>
          </w:tcPr>
          <w:p w:rsidR="008D1A8E" w:rsidRDefault="008630DB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0500</w:t>
            </w: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1047,3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8,4</w:t>
            </w: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996,7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8,0</w:t>
            </w:r>
          </w:p>
        </w:tc>
        <w:tc>
          <w:tcPr>
            <w:tcW w:w="958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95,2</w:t>
            </w:r>
          </w:p>
        </w:tc>
      </w:tr>
      <w:tr w:rsidR="008D1A8E" w:rsidTr="00895F56">
        <w:tc>
          <w:tcPr>
            <w:tcW w:w="3507" w:type="dxa"/>
          </w:tcPr>
          <w:p w:rsidR="008D1A8E" w:rsidRDefault="008630DB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Культура, кинематография       </w:t>
            </w:r>
          </w:p>
        </w:tc>
        <w:tc>
          <w:tcPr>
            <w:tcW w:w="860" w:type="dxa"/>
            <w:vAlign w:val="center"/>
          </w:tcPr>
          <w:p w:rsidR="008D1A8E" w:rsidRDefault="008630DB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0800</w:t>
            </w: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4066,4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32,5</w:t>
            </w:r>
          </w:p>
        </w:tc>
        <w:tc>
          <w:tcPr>
            <w:tcW w:w="1132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4051,7</w:t>
            </w:r>
          </w:p>
        </w:tc>
        <w:tc>
          <w:tcPr>
            <w:tcW w:w="991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32,6</w:t>
            </w:r>
          </w:p>
        </w:tc>
        <w:tc>
          <w:tcPr>
            <w:tcW w:w="958" w:type="dxa"/>
            <w:vAlign w:val="center"/>
          </w:tcPr>
          <w:p w:rsidR="008D1A8E" w:rsidRDefault="007B3D8C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99,6</w:t>
            </w:r>
          </w:p>
        </w:tc>
      </w:tr>
      <w:tr w:rsidR="008D1A8E" w:rsidTr="00895F56">
        <w:tc>
          <w:tcPr>
            <w:tcW w:w="3507" w:type="dxa"/>
          </w:tcPr>
          <w:p w:rsidR="008D1A8E" w:rsidRDefault="008630DB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Социальная политика </w:t>
            </w:r>
            <w:r>
              <w:rPr>
                <w:sz w:val="22"/>
                <w:szCs w:val="22"/>
                <w:lang w:val="en-US" w:eastAsia="en-US"/>
              </w:rPr>
              <w:t xml:space="preserve">                      </w:t>
            </w:r>
          </w:p>
        </w:tc>
        <w:tc>
          <w:tcPr>
            <w:tcW w:w="860" w:type="dxa"/>
            <w:vAlign w:val="center"/>
          </w:tcPr>
          <w:p w:rsidR="008D1A8E" w:rsidRDefault="008630DB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1000</w:t>
            </w:r>
          </w:p>
        </w:tc>
        <w:tc>
          <w:tcPr>
            <w:tcW w:w="1132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1386,0</w:t>
            </w:r>
          </w:p>
        </w:tc>
        <w:tc>
          <w:tcPr>
            <w:tcW w:w="991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11,1</w:t>
            </w:r>
          </w:p>
        </w:tc>
        <w:tc>
          <w:tcPr>
            <w:tcW w:w="1132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1386,0</w:t>
            </w:r>
          </w:p>
        </w:tc>
        <w:tc>
          <w:tcPr>
            <w:tcW w:w="991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11,2</w:t>
            </w:r>
          </w:p>
        </w:tc>
        <w:tc>
          <w:tcPr>
            <w:tcW w:w="958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</w:tr>
      <w:tr w:rsidR="008D1A8E" w:rsidTr="00895F56">
        <w:tc>
          <w:tcPr>
            <w:tcW w:w="3507" w:type="dxa"/>
          </w:tcPr>
          <w:p w:rsidR="008D1A8E" w:rsidRDefault="008630DB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60" w:type="dxa"/>
            <w:vAlign w:val="center"/>
          </w:tcPr>
          <w:p w:rsidR="008D1A8E" w:rsidRDefault="008630DB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1100</w:t>
            </w:r>
          </w:p>
        </w:tc>
        <w:tc>
          <w:tcPr>
            <w:tcW w:w="1132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213,0</w:t>
            </w:r>
          </w:p>
        </w:tc>
        <w:tc>
          <w:tcPr>
            <w:tcW w:w="991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1,7</w:t>
            </w:r>
          </w:p>
        </w:tc>
        <w:tc>
          <w:tcPr>
            <w:tcW w:w="1132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213,0</w:t>
            </w:r>
          </w:p>
        </w:tc>
        <w:tc>
          <w:tcPr>
            <w:tcW w:w="991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1,7</w:t>
            </w:r>
          </w:p>
        </w:tc>
        <w:tc>
          <w:tcPr>
            <w:tcW w:w="958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</w:tr>
      <w:tr w:rsidR="008D1A8E" w:rsidTr="00895F56">
        <w:tc>
          <w:tcPr>
            <w:tcW w:w="3507" w:type="dxa"/>
          </w:tcPr>
          <w:p w:rsidR="008D1A8E" w:rsidRDefault="008630DB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Межбюджетные транс-ферты  общего характера  бюджетам субъектов РФ и муниципальных </w:t>
            </w:r>
            <w:proofErr w:type="spellStart"/>
            <w:r>
              <w:rPr>
                <w:sz w:val="22"/>
                <w:szCs w:val="22"/>
                <w:lang w:eastAsia="en-US"/>
              </w:rPr>
              <w:t>образова-ний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</w:t>
            </w:r>
            <w:proofErr w:type="gramEnd"/>
          </w:p>
        </w:tc>
        <w:tc>
          <w:tcPr>
            <w:tcW w:w="860" w:type="dxa"/>
            <w:vAlign w:val="center"/>
          </w:tcPr>
          <w:p w:rsidR="008D1A8E" w:rsidRDefault="008630DB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1400</w:t>
            </w:r>
          </w:p>
        </w:tc>
        <w:tc>
          <w:tcPr>
            <w:tcW w:w="1132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106,0</w:t>
            </w:r>
          </w:p>
        </w:tc>
        <w:tc>
          <w:tcPr>
            <w:tcW w:w="991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0,8</w:t>
            </w:r>
          </w:p>
        </w:tc>
        <w:tc>
          <w:tcPr>
            <w:tcW w:w="1132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106,0</w:t>
            </w:r>
          </w:p>
        </w:tc>
        <w:tc>
          <w:tcPr>
            <w:tcW w:w="991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0,9</w:t>
            </w:r>
          </w:p>
        </w:tc>
        <w:tc>
          <w:tcPr>
            <w:tcW w:w="958" w:type="dxa"/>
            <w:vAlign w:val="center"/>
          </w:tcPr>
          <w:p w:rsidR="008D1A8E" w:rsidRDefault="00895F56" w:rsidP="00895F5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</w:tr>
      <w:tr w:rsidR="008D1A8E" w:rsidTr="00895F56">
        <w:tc>
          <w:tcPr>
            <w:tcW w:w="3507" w:type="dxa"/>
          </w:tcPr>
          <w:p w:rsidR="008D1A8E" w:rsidRDefault="008630DB" w:rsidP="00D0277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60" w:type="dxa"/>
          </w:tcPr>
          <w:p w:rsidR="008D1A8E" w:rsidRPr="00895F56" w:rsidRDefault="008D1A8E" w:rsidP="00D0277D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:rsidR="008D1A8E" w:rsidRPr="00895F56" w:rsidRDefault="00895F56" w:rsidP="00895F5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12503,1</w:t>
            </w:r>
          </w:p>
        </w:tc>
        <w:tc>
          <w:tcPr>
            <w:tcW w:w="991" w:type="dxa"/>
            <w:vAlign w:val="center"/>
          </w:tcPr>
          <w:p w:rsidR="008D1A8E" w:rsidRPr="00895F56" w:rsidRDefault="00895F56" w:rsidP="00895F5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  <w:tc>
          <w:tcPr>
            <w:tcW w:w="1132" w:type="dxa"/>
            <w:vAlign w:val="center"/>
          </w:tcPr>
          <w:p w:rsidR="008D1A8E" w:rsidRPr="00895F56" w:rsidRDefault="00895F56" w:rsidP="00895F5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12431,0</w:t>
            </w:r>
          </w:p>
        </w:tc>
        <w:tc>
          <w:tcPr>
            <w:tcW w:w="991" w:type="dxa"/>
            <w:vAlign w:val="center"/>
          </w:tcPr>
          <w:p w:rsidR="008D1A8E" w:rsidRPr="00895F56" w:rsidRDefault="00895F56" w:rsidP="00895F5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  <w:tc>
          <w:tcPr>
            <w:tcW w:w="958" w:type="dxa"/>
            <w:vAlign w:val="center"/>
          </w:tcPr>
          <w:p w:rsidR="008D1A8E" w:rsidRPr="00895F56" w:rsidRDefault="00895F56" w:rsidP="00895F5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99,4</w:t>
            </w:r>
          </w:p>
        </w:tc>
      </w:tr>
    </w:tbl>
    <w:p w:rsidR="00AE0243" w:rsidRDefault="00AE0243" w:rsidP="008630DB">
      <w:pPr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функциональной кл</w:t>
      </w:r>
      <w:r w:rsidR="00DB6B84">
        <w:rPr>
          <w:rFonts w:ascii="Times New Roman CYR" w:hAnsi="Times New Roman CYR" w:cs="Times New Roman CYR"/>
        </w:rPr>
        <w:t xml:space="preserve">ассификации расходов изменены </w:t>
      </w:r>
      <w:r w:rsidR="00895F56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показател</w:t>
      </w:r>
      <w:r w:rsidR="00895F56"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</w:rPr>
        <w:t xml:space="preserve"> из 9.</w:t>
      </w:r>
      <w:proofErr w:type="gramEnd"/>
      <w:r>
        <w:rPr>
          <w:rFonts w:ascii="Times New Roman CYR" w:hAnsi="Times New Roman CYR" w:cs="Times New Roman CYR"/>
        </w:rPr>
        <w:t xml:space="preserve"> Приоритетными направлениями расходования средст</w:t>
      </w:r>
      <w:r w:rsidR="00DB6B84">
        <w:rPr>
          <w:rFonts w:ascii="Times New Roman CYR" w:hAnsi="Times New Roman CYR" w:cs="Times New Roman CYR"/>
        </w:rPr>
        <w:t>в бюджета Новорождественского</w:t>
      </w:r>
      <w:r w:rsidR="00895F56">
        <w:rPr>
          <w:rFonts w:ascii="Times New Roman CYR" w:hAnsi="Times New Roman CYR" w:cs="Times New Roman CYR"/>
        </w:rPr>
        <w:t xml:space="preserve"> сельского поселения в 2016</w:t>
      </w:r>
      <w:r>
        <w:rPr>
          <w:rFonts w:ascii="Times New Roman CYR" w:hAnsi="Times New Roman CYR" w:cs="Times New Roman CYR"/>
        </w:rPr>
        <w:t xml:space="preserve"> году являлись расходы на: </w:t>
      </w:r>
      <w:r w:rsidR="00DB6B84">
        <w:rPr>
          <w:rFonts w:ascii="Times New Roman CYR" w:hAnsi="Times New Roman CYR" w:cs="Times New Roman CYR"/>
        </w:rPr>
        <w:t>о</w:t>
      </w:r>
      <w:r w:rsidR="00895F56">
        <w:rPr>
          <w:rFonts w:ascii="Times New Roman CYR" w:hAnsi="Times New Roman CYR" w:cs="Times New Roman CYR"/>
        </w:rPr>
        <w:t>бщегосударственные вопросы  34,1</w:t>
      </w:r>
      <w:r>
        <w:rPr>
          <w:rFonts w:ascii="Times New Roman CYR" w:hAnsi="Times New Roman CYR" w:cs="Times New Roman CYR"/>
        </w:rPr>
        <w:t xml:space="preserve">%; </w:t>
      </w:r>
      <w:r w:rsidR="00895F56">
        <w:rPr>
          <w:rFonts w:ascii="Times New Roman CYR" w:hAnsi="Times New Roman CYR" w:cs="Times New Roman CYR"/>
        </w:rPr>
        <w:t>культуру 32,6</w:t>
      </w:r>
      <w:r w:rsidR="00DB6B84">
        <w:rPr>
          <w:rFonts w:ascii="Times New Roman CYR" w:hAnsi="Times New Roman CYR" w:cs="Times New Roman CYR"/>
        </w:rPr>
        <w:t>%, социальную политику  1</w:t>
      </w:r>
      <w:r w:rsidR="00895F56">
        <w:rPr>
          <w:rFonts w:ascii="Times New Roman CYR" w:hAnsi="Times New Roman CYR" w:cs="Times New Roman CYR"/>
        </w:rPr>
        <w:t>1,2</w:t>
      </w:r>
      <w:r>
        <w:rPr>
          <w:rFonts w:ascii="Times New Roman CYR" w:hAnsi="Times New Roman CYR" w:cs="Times New Roman CYR"/>
        </w:rPr>
        <w:t>%</w:t>
      </w:r>
      <w:r w:rsidR="00895F56">
        <w:rPr>
          <w:rFonts w:ascii="Times New Roman CYR" w:hAnsi="Times New Roman CYR" w:cs="Times New Roman CYR"/>
        </w:rPr>
        <w:t>, национальную экономику 10,8%</w:t>
      </w:r>
      <w:r>
        <w:rPr>
          <w:rFonts w:ascii="Times New Roman CYR" w:hAnsi="Times New Roman CYR" w:cs="Times New Roman CYR"/>
        </w:rPr>
        <w:t>.</w:t>
      </w:r>
    </w:p>
    <w:p w:rsidR="00AE0243" w:rsidRDefault="00AE0243" w:rsidP="00AE0243">
      <w:pPr>
        <w:rPr>
          <w:rFonts w:ascii="Times New Roman CYR" w:hAnsi="Times New Roman CYR" w:cs="Times New Roman CYR"/>
          <w:b/>
          <w:bCs/>
        </w:rPr>
      </w:pPr>
    </w:p>
    <w:p w:rsidR="00AE0243" w:rsidRDefault="00AE0243" w:rsidP="00AE0243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AE0243" w:rsidRDefault="00AE0243" w:rsidP="00AE0243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</w:t>
      </w:r>
      <w:r w:rsidR="00DB6B84">
        <w:rPr>
          <w:rFonts w:ascii="Times New Roman CYR" w:hAnsi="Times New Roman CYR" w:cs="Times New Roman CYR"/>
        </w:rPr>
        <w:t>ановлением Главы поселения от 13.09.2006г. № 61</w:t>
      </w:r>
      <w:r>
        <w:rPr>
          <w:rFonts w:ascii="Times New Roman CYR" w:hAnsi="Times New Roman CYR" w:cs="Times New Roman CYR"/>
        </w:rPr>
        <w:t xml:space="preserve"> утверждено Положение </w:t>
      </w:r>
      <w:r>
        <w:t>«</w:t>
      </w:r>
      <w:r>
        <w:rPr>
          <w:rFonts w:ascii="Times New Roman CYR" w:hAnsi="Times New Roman CYR" w:cs="Times New Roman CYR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</w:rPr>
        <w:t xml:space="preserve">порядка расходования средств резервного фонда </w:t>
      </w:r>
      <w:r w:rsidR="00DB6B84">
        <w:rPr>
          <w:rFonts w:ascii="Times New Roman CYR" w:hAnsi="Times New Roman CYR" w:cs="Times New Roman CYR"/>
        </w:rPr>
        <w:t xml:space="preserve">непредвиденных расходов </w:t>
      </w:r>
      <w:r>
        <w:rPr>
          <w:rFonts w:ascii="Times New Roman CYR" w:hAnsi="Times New Roman CYR" w:cs="Times New Roman CYR"/>
        </w:rPr>
        <w:t xml:space="preserve">Администрации </w:t>
      </w:r>
      <w:r w:rsidR="00262B20">
        <w:rPr>
          <w:rFonts w:ascii="Times New Roman CYR" w:hAnsi="Times New Roman CYR" w:cs="Times New Roman CYR"/>
        </w:rPr>
        <w:t>Новорождественского</w:t>
      </w:r>
      <w:r>
        <w:rPr>
          <w:rFonts w:ascii="Times New Roman CYR" w:hAnsi="Times New Roman CYR" w:cs="Times New Roman CYR"/>
        </w:rPr>
        <w:t xml:space="preserve"> сельс</w:t>
      </w:r>
      <w:r w:rsidR="00DB6B84">
        <w:rPr>
          <w:rFonts w:ascii="Times New Roman CYR" w:hAnsi="Times New Roman CYR" w:cs="Times New Roman CYR"/>
        </w:rPr>
        <w:t>кого поселения</w:t>
      </w:r>
      <w:proofErr w:type="gramEnd"/>
      <w:r w:rsidR="009F7F4F">
        <w:rPr>
          <w:rFonts w:ascii="Times New Roman CYR" w:hAnsi="Times New Roman CYR" w:cs="Times New Roman CYR"/>
        </w:rPr>
        <w:t xml:space="preserve">». Постановлением от 01.04.2013г № 15 утверждено Положение «О порядке создания, хранения, использования резервов материальных ресурсов для ликвидации чрезвычайных ситуаций </w:t>
      </w:r>
      <w:r w:rsidR="009F7F4F">
        <w:rPr>
          <w:rFonts w:ascii="Times New Roman CYR" w:hAnsi="Times New Roman CYR" w:cs="Times New Roman CYR"/>
        </w:rPr>
        <w:lastRenderedPageBreak/>
        <w:t xml:space="preserve">природного и техногенного характера на территории Новорождественского </w:t>
      </w:r>
      <w:r w:rsidR="00262B2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сельского поселения».</w:t>
      </w:r>
    </w:p>
    <w:p w:rsidR="007006D3" w:rsidRDefault="007B5BE9" w:rsidP="007006D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основании пункта 2 статьи 190 Бюджетного кодекса Российской Федераци</w:t>
      </w:r>
      <w:proofErr w:type="gramStart"/>
      <w:r>
        <w:rPr>
          <w:rFonts w:ascii="Times New Roman CYR" w:hAnsi="Times New Roman CYR" w:cs="Times New Roman CYR"/>
        </w:rPr>
        <w:t>и(</w:t>
      </w:r>
      <w:proofErr w:type="gramEnd"/>
      <w:r>
        <w:rPr>
          <w:rFonts w:ascii="Times New Roman CYR" w:hAnsi="Times New Roman CYR" w:cs="Times New Roman CYR"/>
        </w:rPr>
        <w:t>БК РФ), если закон (решение) о бюджете не вступил в силу через три месяца после начала финансового года, финансовый орган организует исполнение бюджета при соблюдении условий, определенных пунктом 1 статьи 90 БК РФ, при этом финансовый орган не имеет прав  формировать резервные фонды. Администрация Новорождественского</w:t>
      </w:r>
      <w:r w:rsidR="007006D3">
        <w:rPr>
          <w:rFonts w:ascii="Times New Roman CYR" w:hAnsi="Times New Roman CYR" w:cs="Times New Roman CYR"/>
        </w:rPr>
        <w:t xml:space="preserve"> сельского поселения не формировала резервные фонды в 2016 году.</w:t>
      </w:r>
    </w:p>
    <w:p w:rsidR="00AE0243" w:rsidRDefault="007006D3" w:rsidP="007006D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E0243" w:rsidRDefault="00AE0243" w:rsidP="00AE0243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Анализ состояния дебиторской и кредиторской задолженности.</w:t>
      </w:r>
    </w:p>
    <w:p w:rsidR="00AE0243" w:rsidRDefault="00AE0243" w:rsidP="00AE0243">
      <w:pPr>
        <w:pStyle w:val="a7"/>
        <w:ind w:left="1069"/>
        <w:rPr>
          <w:rFonts w:ascii="Times New Roman CYR" w:hAnsi="Times New Roman CYR" w:cs="Times New Roman CYR"/>
          <w:b/>
        </w:rPr>
      </w:pP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данным «Сведений о дебиторской и кредиторской задолженности» ф. 0503169 и Баланса главного распорядителя ф 0503130 на 01.01.201</w:t>
      </w:r>
      <w:r w:rsidR="00061022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г и 01.01.201</w:t>
      </w:r>
      <w:r w:rsidR="00061022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г задолженность по расчетам с кредиторами и дебиторами составляла:</w:t>
      </w:r>
    </w:p>
    <w:p w:rsidR="00AE0243" w:rsidRDefault="00AE0243" w:rsidP="00AE0243">
      <w:r>
        <w:t>Таблица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AE0243" w:rsidTr="00AE024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0610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01.01.2016</w:t>
            </w:r>
            <w:r w:rsidR="00AE0243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 w:rsidP="000610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</w:t>
            </w:r>
            <w:r w:rsidR="00061022">
              <w:rPr>
                <w:lang w:eastAsia="en-US"/>
              </w:rPr>
              <w:t>7</w:t>
            </w:r>
            <w:r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Отклонения</w:t>
            </w:r>
            <w:proofErr w:type="gramStart"/>
            <w:r>
              <w:rPr>
                <w:lang w:eastAsia="en-US"/>
              </w:rPr>
              <w:t xml:space="preserve"> (+;-)</w:t>
            </w:r>
            <w:proofErr w:type="gramEnd"/>
          </w:p>
        </w:tc>
      </w:tr>
      <w:tr w:rsidR="00AE0243" w:rsidTr="0090450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0610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744,6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0610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061022" w:rsidP="000610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530EB0">
              <w:rPr>
                <w:lang w:eastAsia="en-US"/>
              </w:rPr>
              <w:t>7</w:t>
            </w:r>
            <w:r>
              <w:rPr>
                <w:lang w:eastAsia="en-US"/>
              </w:rPr>
              <w:t>44,5</w:t>
            </w:r>
          </w:p>
        </w:tc>
      </w:tr>
      <w:tr w:rsidR="00AE0243" w:rsidTr="0090450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3" w:rsidRDefault="00AE0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0610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482EA9" w:rsidP="000610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061022">
              <w:rPr>
                <w:lang w:eastAsia="en-US"/>
              </w:rPr>
              <w:t>4</w:t>
            </w:r>
            <w:r>
              <w:rPr>
                <w:lang w:eastAsia="en-US"/>
              </w:rPr>
              <w:t>,</w:t>
            </w:r>
            <w:r w:rsidR="00061022">
              <w:rPr>
                <w:lang w:eastAsia="en-US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3" w:rsidRDefault="000610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-15,1</w:t>
            </w:r>
          </w:p>
        </w:tc>
      </w:tr>
    </w:tbl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Дебиторская задолженность за 2</w:t>
      </w:r>
      <w:r w:rsidR="00530EB0">
        <w:rPr>
          <w:rFonts w:ascii="Times New Roman CYR" w:hAnsi="Times New Roman CYR" w:cs="Times New Roman CYR"/>
          <w:bCs/>
        </w:rPr>
        <w:t>01</w:t>
      </w:r>
      <w:r w:rsidR="00061022">
        <w:rPr>
          <w:rFonts w:ascii="Times New Roman CYR" w:hAnsi="Times New Roman CYR" w:cs="Times New Roman CYR"/>
          <w:bCs/>
        </w:rPr>
        <w:t>6</w:t>
      </w:r>
      <w:r w:rsidR="00530EB0">
        <w:rPr>
          <w:rFonts w:ascii="Times New Roman CYR" w:hAnsi="Times New Roman CYR" w:cs="Times New Roman CYR"/>
          <w:bCs/>
        </w:rPr>
        <w:t xml:space="preserve"> год   уменьшилась на </w:t>
      </w:r>
      <w:r w:rsidR="00061022">
        <w:rPr>
          <w:rFonts w:ascii="Times New Roman CYR" w:hAnsi="Times New Roman CYR" w:cs="Times New Roman CYR"/>
          <w:bCs/>
        </w:rPr>
        <w:t>744,5</w:t>
      </w:r>
      <w:r w:rsidR="00530EB0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тыс. руб. и  на</w:t>
      </w:r>
      <w:r w:rsidR="00530EB0">
        <w:rPr>
          <w:rFonts w:ascii="Times New Roman CYR" w:hAnsi="Times New Roman CYR" w:cs="Times New Roman CYR"/>
          <w:bCs/>
        </w:rPr>
        <w:t xml:space="preserve"> 01.01.201</w:t>
      </w:r>
      <w:r w:rsidR="00061022">
        <w:rPr>
          <w:rFonts w:ascii="Times New Roman CYR" w:hAnsi="Times New Roman CYR" w:cs="Times New Roman CYR"/>
          <w:bCs/>
        </w:rPr>
        <w:t>7</w:t>
      </w:r>
      <w:r w:rsidR="00530EB0">
        <w:rPr>
          <w:rFonts w:ascii="Times New Roman CYR" w:hAnsi="Times New Roman CYR" w:cs="Times New Roman CYR"/>
          <w:bCs/>
        </w:rPr>
        <w:t xml:space="preserve">г составляет   </w:t>
      </w:r>
      <w:r w:rsidR="00061022">
        <w:rPr>
          <w:rFonts w:ascii="Times New Roman CYR" w:hAnsi="Times New Roman CYR" w:cs="Times New Roman CYR"/>
          <w:bCs/>
        </w:rPr>
        <w:t>0</w:t>
      </w:r>
      <w:r w:rsidR="00530EB0">
        <w:rPr>
          <w:rFonts w:ascii="Times New Roman CYR" w:hAnsi="Times New Roman CYR" w:cs="Times New Roman CYR"/>
          <w:bCs/>
        </w:rPr>
        <w:t>,</w:t>
      </w:r>
      <w:r w:rsidR="00061022">
        <w:rPr>
          <w:rFonts w:ascii="Times New Roman CYR" w:hAnsi="Times New Roman CYR" w:cs="Times New Roman CYR"/>
          <w:bCs/>
        </w:rPr>
        <w:t>1</w:t>
      </w:r>
      <w:r>
        <w:rPr>
          <w:rFonts w:ascii="Times New Roman CYR" w:hAnsi="Times New Roman CYR" w:cs="Times New Roman CYR"/>
          <w:bCs/>
        </w:rPr>
        <w:t xml:space="preserve">  тыс. руб.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Кредиторская за</w:t>
      </w:r>
      <w:r w:rsidR="00530EB0">
        <w:rPr>
          <w:rFonts w:ascii="Times New Roman CYR" w:hAnsi="Times New Roman CYR" w:cs="Times New Roman CYR"/>
          <w:bCs/>
        </w:rPr>
        <w:t xml:space="preserve">долженность </w:t>
      </w:r>
      <w:r w:rsidR="00061022">
        <w:rPr>
          <w:rFonts w:ascii="Times New Roman CYR" w:hAnsi="Times New Roman CYR" w:cs="Times New Roman CYR"/>
          <w:bCs/>
        </w:rPr>
        <w:t>уменьш</w:t>
      </w:r>
      <w:r w:rsidR="00530EB0">
        <w:rPr>
          <w:rFonts w:ascii="Times New Roman CYR" w:hAnsi="Times New Roman CYR" w:cs="Times New Roman CYR"/>
          <w:bCs/>
        </w:rPr>
        <w:t xml:space="preserve">илась на </w:t>
      </w:r>
      <w:r w:rsidR="00061022">
        <w:rPr>
          <w:rFonts w:ascii="Times New Roman CYR" w:hAnsi="Times New Roman CYR" w:cs="Times New Roman CYR"/>
          <w:bCs/>
        </w:rPr>
        <w:t>15,1</w:t>
      </w:r>
      <w:r>
        <w:rPr>
          <w:rFonts w:ascii="Times New Roman CYR" w:hAnsi="Times New Roman CYR" w:cs="Times New Roman CYR"/>
          <w:bCs/>
        </w:rPr>
        <w:t xml:space="preserve"> тыс. руб. и </w:t>
      </w:r>
      <w:r w:rsidR="00530EB0">
        <w:rPr>
          <w:rFonts w:ascii="Times New Roman CYR" w:hAnsi="Times New Roman CYR" w:cs="Times New Roman CYR"/>
          <w:bCs/>
        </w:rPr>
        <w:t>на 01.01.201</w:t>
      </w:r>
      <w:r w:rsidR="00061022">
        <w:rPr>
          <w:rFonts w:ascii="Times New Roman CYR" w:hAnsi="Times New Roman CYR" w:cs="Times New Roman CYR"/>
          <w:bCs/>
        </w:rPr>
        <w:t>7</w:t>
      </w:r>
      <w:r w:rsidR="00530EB0">
        <w:rPr>
          <w:rFonts w:ascii="Times New Roman CYR" w:hAnsi="Times New Roman CYR" w:cs="Times New Roman CYR"/>
          <w:bCs/>
        </w:rPr>
        <w:t xml:space="preserve">г составляет </w:t>
      </w:r>
      <w:r w:rsidR="00061022">
        <w:rPr>
          <w:rFonts w:ascii="Times New Roman CYR" w:hAnsi="Times New Roman CYR" w:cs="Times New Roman CYR"/>
          <w:bCs/>
        </w:rPr>
        <w:t>94,0</w:t>
      </w:r>
      <w:r>
        <w:rPr>
          <w:rFonts w:ascii="Times New Roman CYR" w:hAnsi="Times New Roman CYR" w:cs="Times New Roman CYR"/>
          <w:bCs/>
        </w:rPr>
        <w:t xml:space="preserve"> тыс. рублей.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BF6FC3" w:rsidRDefault="00BF6FC3" w:rsidP="00AE0243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BF6FC3" w:rsidRPr="00BF6FC3" w:rsidRDefault="00BF6FC3" w:rsidP="00BF6FC3">
      <w:pPr>
        <w:ind w:firstLine="720"/>
        <w:jc w:val="center"/>
        <w:rPr>
          <w:color w:val="000000"/>
        </w:rPr>
      </w:pPr>
      <w:r w:rsidRPr="00BF6FC3">
        <w:rPr>
          <w:b/>
          <w:bCs/>
          <w:color w:val="000000"/>
        </w:rPr>
        <w:t>9. Анализ движения нефинансовых активов</w:t>
      </w:r>
      <w:r w:rsidR="008A4365">
        <w:rPr>
          <w:b/>
          <w:bCs/>
          <w:color w:val="000000"/>
        </w:rPr>
        <w:t>.</w:t>
      </w:r>
    </w:p>
    <w:p w:rsidR="00BF6FC3" w:rsidRPr="00634DAC" w:rsidRDefault="00BF6FC3" w:rsidP="00BF6FC3">
      <w:pPr>
        <w:ind w:firstLine="720"/>
        <w:jc w:val="center"/>
        <w:rPr>
          <w:b/>
          <w:color w:val="000000"/>
        </w:rPr>
      </w:pPr>
      <w:r w:rsidRPr="00634DAC">
        <w:rPr>
          <w:b/>
          <w:bCs/>
          <w:color w:val="000000"/>
        </w:rPr>
        <w:t> </w:t>
      </w:r>
    </w:p>
    <w:p w:rsidR="00482EA9" w:rsidRPr="00634DAC" w:rsidRDefault="00482EA9" w:rsidP="00482EA9">
      <w:pPr>
        <w:tabs>
          <w:tab w:val="left" w:pos="744"/>
          <w:tab w:val="left" w:pos="1620"/>
        </w:tabs>
        <w:ind w:firstLine="709"/>
        <w:jc w:val="both"/>
        <w:rPr>
          <w:b/>
        </w:rPr>
      </w:pPr>
      <w:r w:rsidRPr="00634DAC">
        <w:rPr>
          <w:b/>
        </w:rPr>
        <w:t xml:space="preserve">В  нарушение требований  статьи 11 Федерального закона от 06.12.2011г. № 402-ФЗ «О бухгалтерском учете» в  </w:t>
      </w:r>
      <w:r w:rsidRPr="00634DAC">
        <w:rPr>
          <w:rFonts w:ascii="Times New Roman CYR" w:hAnsi="Times New Roman CYR" w:cs="Times New Roman CYR"/>
          <w:b/>
        </w:rPr>
        <w:t xml:space="preserve"> Администрации Новорождественского сельского поселения </w:t>
      </w:r>
      <w:r w:rsidRPr="00634DAC">
        <w:rPr>
          <w:b/>
        </w:rPr>
        <w:t xml:space="preserve">перед составлением годовой бюджетной отчетности не  проведена инвентаризация имущества и финансовых обязательств. </w:t>
      </w:r>
    </w:p>
    <w:p w:rsidR="00BF6FC3" w:rsidRPr="00BF6FC3" w:rsidRDefault="00BF6FC3" w:rsidP="00BF6FC3">
      <w:pPr>
        <w:ind w:right="-81" w:firstLine="708"/>
        <w:jc w:val="both"/>
        <w:rPr>
          <w:color w:val="000000"/>
        </w:rPr>
      </w:pPr>
      <w:r w:rsidRPr="00BF6FC3"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797AFE" w:rsidRDefault="00BF6FC3" w:rsidP="00797AFE">
      <w:pPr>
        <w:ind w:firstLine="709"/>
        <w:jc w:val="both"/>
        <w:rPr>
          <w:color w:val="000000"/>
        </w:rPr>
      </w:pPr>
      <w:r w:rsidRPr="00CA572D">
        <w:rPr>
          <w:color w:val="000000"/>
        </w:rPr>
        <w:t>Стоимость основных средств на начало 201</w:t>
      </w:r>
      <w:r w:rsidR="00634DAC">
        <w:rPr>
          <w:color w:val="000000"/>
        </w:rPr>
        <w:t>6</w:t>
      </w:r>
      <w:r w:rsidRPr="00CA572D">
        <w:rPr>
          <w:color w:val="000000"/>
        </w:rPr>
        <w:t xml:space="preserve"> года составляла    65</w:t>
      </w:r>
      <w:r w:rsidR="00634DAC">
        <w:rPr>
          <w:color w:val="000000"/>
        </w:rPr>
        <w:t>351,8</w:t>
      </w:r>
      <w:r w:rsidRPr="00CA572D">
        <w:rPr>
          <w:color w:val="000000"/>
        </w:rPr>
        <w:t xml:space="preserve"> тыс. рублей. </w:t>
      </w:r>
      <w:proofErr w:type="gramStart"/>
      <w:r w:rsidRPr="00CA572D">
        <w:rPr>
          <w:color w:val="000000"/>
        </w:rPr>
        <w:t>Поступило основных средств з</w:t>
      </w:r>
      <w:r w:rsidR="00634DAC">
        <w:rPr>
          <w:color w:val="000000"/>
        </w:rPr>
        <w:t>а отчетный период в сумме 1745,4</w:t>
      </w:r>
      <w:r w:rsidRPr="00CA572D">
        <w:rPr>
          <w:color w:val="000000"/>
        </w:rPr>
        <w:t xml:space="preserve"> тыс. рублей (</w:t>
      </w:r>
      <w:r w:rsidR="00634DAC">
        <w:rPr>
          <w:color w:val="000000"/>
        </w:rPr>
        <w:t xml:space="preserve">жилые помещения в сумме 1353,6 тыс. рублей, машины и оборудование в сумме 56,3 тыс. рублей, транспортные средства в сумме 316,5 тыс. рублей, </w:t>
      </w:r>
      <w:r w:rsidRPr="00CA572D">
        <w:rPr>
          <w:color w:val="000000"/>
        </w:rPr>
        <w:t xml:space="preserve">производственный и хозяйственный инвентарь в сумме </w:t>
      </w:r>
      <w:r w:rsidR="00634DAC">
        <w:rPr>
          <w:color w:val="000000"/>
        </w:rPr>
        <w:t>19,0</w:t>
      </w:r>
      <w:r w:rsidRPr="00CA572D">
        <w:rPr>
          <w:color w:val="000000"/>
        </w:rPr>
        <w:t xml:space="preserve"> тыс. рублей), выбытие о</w:t>
      </w:r>
      <w:r w:rsidR="00634DAC">
        <w:rPr>
          <w:color w:val="000000"/>
        </w:rPr>
        <w:t>сновных средств в сумме 396,0</w:t>
      </w:r>
      <w:r w:rsidR="00CA572D" w:rsidRPr="00CA572D">
        <w:rPr>
          <w:color w:val="000000"/>
        </w:rPr>
        <w:t xml:space="preserve"> тыс. руб.</w:t>
      </w:r>
      <w:r w:rsidRPr="00CA572D">
        <w:rPr>
          <w:color w:val="000000"/>
        </w:rPr>
        <w:t>. Остаток на конец отчетного периода составил –</w:t>
      </w:r>
      <w:r w:rsidR="00634DAC">
        <w:rPr>
          <w:color w:val="000000"/>
        </w:rPr>
        <w:t xml:space="preserve"> 66701,2</w:t>
      </w:r>
      <w:r w:rsidRPr="00CA572D">
        <w:rPr>
          <w:color w:val="000000"/>
        </w:rPr>
        <w:t> тыс. рублей.</w:t>
      </w:r>
      <w:r w:rsidR="00797AFE">
        <w:rPr>
          <w:color w:val="000000"/>
        </w:rPr>
        <w:t xml:space="preserve"> </w:t>
      </w:r>
      <w:proofErr w:type="gramEnd"/>
    </w:p>
    <w:p w:rsidR="00797AFE" w:rsidRPr="00797AFE" w:rsidRDefault="00BF6FC3" w:rsidP="00797AFE">
      <w:pPr>
        <w:ind w:firstLine="709"/>
        <w:jc w:val="both"/>
        <w:rPr>
          <w:rFonts w:ascii="Times New Roman CYR" w:hAnsi="Times New Roman CYR" w:cs="Times New Roman CYR"/>
        </w:rPr>
      </w:pPr>
      <w:r w:rsidRPr="00CA572D">
        <w:rPr>
          <w:color w:val="000000"/>
        </w:rPr>
        <w:t>Сумма начисленной амортизации по ос</w:t>
      </w:r>
      <w:r w:rsidR="00CA572D" w:rsidRPr="00CA572D">
        <w:rPr>
          <w:color w:val="000000"/>
        </w:rPr>
        <w:t xml:space="preserve">новным средствам составила </w:t>
      </w:r>
      <w:r w:rsidR="00634DAC">
        <w:rPr>
          <w:color w:val="000000"/>
        </w:rPr>
        <w:t>1947,6</w:t>
      </w:r>
      <w:r w:rsidRPr="00CA572D">
        <w:rPr>
          <w:color w:val="000000"/>
        </w:rPr>
        <w:t> тыс. рублей.</w:t>
      </w:r>
      <w:r w:rsidR="00797AFE" w:rsidRPr="00081FF9">
        <w:rPr>
          <w:rFonts w:ascii="Times New Roman CYR" w:hAnsi="Times New Roman CYR" w:cs="Times New Roman CYR"/>
        </w:rPr>
        <w:t xml:space="preserve"> </w:t>
      </w:r>
    </w:p>
    <w:p w:rsidR="00BF6FC3" w:rsidRPr="00D11D5B" w:rsidRDefault="00BF6FC3" w:rsidP="00BF6FC3">
      <w:pPr>
        <w:ind w:right="-81" w:firstLine="708"/>
        <w:jc w:val="both"/>
        <w:rPr>
          <w:color w:val="000000"/>
        </w:rPr>
      </w:pPr>
      <w:r w:rsidRPr="00D11D5B">
        <w:rPr>
          <w:color w:val="000000"/>
        </w:rPr>
        <w:t>Стоимость материальных запасов на начало 201</w:t>
      </w:r>
      <w:r w:rsidR="00634DAC">
        <w:rPr>
          <w:color w:val="000000"/>
        </w:rPr>
        <w:t>6</w:t>
      </w:r>
      <w:r w:rsidRPr="00D11D5B">
        <w:rPr>
          <w:color w:val="000000"/>
        </w:rPr>
        <w:t xml:space="preserve"> года отсутствует. Поступило материальных запасов </w:t>
      </w:r>
      <w:r w:rsidR="00D11D5B" w:rsidRPr="00D11D5B">
        <w:rPr>
          <w:color w:val="000000"/>
        </w:rPr>
        <w:t xml:space="preserve">за отчетный период в сумме </w:t>
      </w:r>
      <w:r w:rsidR="00634DAC">
        <w:rPr>
          <w:color w:val="000000"/>
        </w:rPr>
        <w:t>605,6 тыс. рублей, выбыло – 605</w:t>
      </w:r>
      <w:r w:rsidR="00D11D5B" w:rsidRPr="00D11D5B">
        <w:rPr>
          <w:color w:val="000000"/>
        </w:rPr>
        <w:t>,</w:t>
      </w:r>
      <w:r w:rsidR="00634DAC">
        <w:rPr>
          <w:color w:val="000000"/>
        </w:rPr>
        <w:t xml:space="preserve">6 </w:t>
      </w:r>
      <w:r w:rsidRPr="00D11D5B">
        <w:rPr>
          <w:color w:val="000000"/>
        </w:rPr>
        <w:t>тыс. рублей. На конец отчетного периода остаток отсутствует.</w:t>
      </w:r>
    </w:p>
    <w:p w:rsidR="00BA2223" w:rsidRPr="00180770" w:rsidRDefault="00BF6FC3" w:rsidP="00BA2223">
      <w:pPr>
        <w:ind w:right="-81" w:firstLine="708"/>
        <w:jc w:val="both"/>
        <w:rPr>
          <w:color w:val="000000"/>
        </w:rPr>
      </w:pPr>
      <w:r w:rsidRPr="00797AFE">
        <w:rPr>
          <w:color w:val="000000"/>
        </w:rPr>
        <w:t xml:space="preserve">По данным формы 0503168 «Сведения о движении нефинансовых активов» (имущество казны) </w:t>
      </w:r>
      <w:r w:rsidR="00BA2223" w:rsidRPr="00180770">
        <w:rPr>
          <w:color w:val="000000"/>
        </w:rPr>
        <w:t>по состоянию на конец отчетного периода имущество в составе казны отсутствует.</w:t>
      </w:r>
    </w:p>
    <w:p w:rsidR="00AE0243" w:rsidRDefault="00AE0243" w:rsidP="00AE0243">
      <w:pPr>
        <w:rPr>
          <w:rFonts w:ascii="Times New Roman CYR" w:hAnsi="Times New Roman CYR" w:cs="Times New Roman CYR"/>
        </w:rPr>
      </w:pPr>
    </w:p>
    <w:p w:rsidR="00AE0243" w:rsidRDefault="00AE0243" w:rsidP="00AE0243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AE0243" w:rsidRDefault="00AE0243" w:rsidP="00AE0243">
      <w:pPr>
        <w:rPr>
          <w:rFonts w:ascii="Times New Roman CYR" w:hAnsi="Times New Roman CYR" w:cs="Times New Roman CYR"/>
          <w:b/>
          <w:bCs/>
        </w:rPr>
      </w:pPr>
    </w:p>
    <w:p w:rsidR="00AE0243" w:rsidRDefault="00AE0243" w:rsidP="00AE024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Бюджетная отчетность представлена Администрацией </w:t>
      </w:r>
      <w:r w:rsidR="00262B20">
        <w:rPr>
          <w:rFonts w:ascii="Times New Roman CYR" w:hAnsi="Times New Roman CYR" w:cs="Times New Roman CYR"/>
        </w:rPr>
        <w:t>Новорождественского</w:t>
      </w:r>
      <w:r>
        <w:t xml:space="preserve"> сельского поселения в Счетную палату в сброшюрованном и пронумерованном виде с </w:t>
      </w:r>
      <w:r>
        <w:lastRenderedPageBreak/>
        <w:t xml:space="preserve">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 (в редакции от </w:t>
      </w:r>
      <w:r w:rsidR="00895F56">
        <w:t>16</w:t>
      </w:r>
      <w:r>
        <w:t>.1</w:t>
      </w:r>
      <w:r w:rsidR="00895F56">
        <w:t>1</w:t>
      </w:r>
      <w:r>
        <w:t>.201</w:t>
      </w:r>
      <w:r w:rsidR="00895F56">
        <w:t>6</w:t>
      </w:r>
      <w:r>
        <w:t>г), с соблюдением  сроков, определенных Бюджетным</w:t>
      </w:r>
      <w:proofErr w:type="gramEnd"/>
      <w:r>
        <w:t xml:space="preserve"> кодексом РФ и Положением «О бюджетном процессе </w:t>
      </w:r>
      <w:proofErr w:type="gramStart"/>
      <w:r>
        <w:t>в</w:t>
      </w:r>
      <w:proofErr w:type="gramEnd"/>
      <w:r>
        <w:t xml:space="preserve"> </w:t>
      </w:r>
      <w:proofErr w:type="gramStart"/>
      <w:r w:rsidR="00262B20">
        <w:rPr>
          <w:rFonts w:ascii="Times New Roman CYR" w:hAnsi="Times New Roman CYR" w:cs="Times New Roman CYR"/>
        </w:rPr>
        <w:t>Новорождественского</w:t>
      </w:r>
      <w:proofErr w:type="gramEnd"/>
      <w:r>
        <w:t xml:space="preserve"> сельском поселении».</w:t>
      </w:r>
    </w:p>
    <w:p w:rsidR="00AE0243" w:rsidRDefault="00AE0243" w:rsidP="00AE0243">
      <w:pPr>
        <w:tabs>
          <w:tab w:val="left" w:pos="1620"/>
        </w:tabs>
        <w:ind w:firstLine="709"/>
        <w:jc w:val="both"/>
      </w:pPr>
      <w:r>
        <w:t>2. Бюджетная отчетность главного распорядителя бюджетных средств соответствует требованиям бюджетного законодательства. Формы отчетов за 201</w:t>
      </w:r>
      <w:r w:rsidR="00895F56">
        <w:t>6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AE0243" w:rsidRDefault="00AE0243" w:rsidP="00AE0243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AE0243" w:rsidRDefault="00AE0243" w:rsidP="00AE0243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r w:rsidR="00262B20">
        <w:rPr>
          <w:rFonts w:ascii="Times New Roman CYR" w:hAnsi="Times New Roman CYR" w:cs="Times New Roman CYR"/>
        </w:rPr>
        <w:t>Новорождественского</w:t>
      </w:r>
      <w:r>
        <w:rPr>
          <w:rFonts w:ascii="Times New Roman CYR" w:hAnsi="Times New Roman CYR" w:cs="Times New Roman CYR"/>
        </w:rPr>
        <w:t xml:space="preserve">  </w:t>
      </w:r>
      <w:r w:rsidR="00895F56">
        <w:rPr>
          <w:rFonts w:ascii="Times New Roman CYR" w:hAnsi="Times New Roman CYR" w:cs="Times New Roman CYR"/>
          <w:bCs/>
        </w:rPr>
        <w:t xml:space="preserve"> сельского поселения за 2016</w:t>
      </w:r>
      <w:r>
        <w:rPr>
          <w:rFonts w:ascii="Times New Roman CYR" w:hAnsi="Times New Roman CYR" w:cs="Times New Roman CYR"/>
          <w:bCs/>
        </w:rPr>
        <w:t xml:space="preserve"> год к утверждению с учетом замечаний, изложенных в заключении.</w:t>
      </w:r>
    </w:p>
    <w:p w:rsidR="00AE0243" w:rsidRDefault="00AE0243" w:rsidP="00AE0243">
      <w:pPr>
        <w:rPr>
          <w:rFonts w:ascii="Times New Roman CYR" w:hAnsi="Times New Roman CYR" w:cs="Times New Roman CYR"/>
          <w:bCs/>
        </w:rPr>
      </w:pPr>
    </w:p>
    <w:p w:rsidR="00AE0243" w:rsidRDefault="00AE0243" w:rsidP="00AE0243">
      <w:pPr>
        <w:rPr>
          <w:rFonts w:ascii="Times New Roman CYR" w:hAnsi="Times New Roman CYR" w:cs="Times New Roman CYR"/>
          <w:bCs/>
        </w:rPr>
      </w:pPr>
    </w:p>
    <w:p w:rsidR="00AE0243" w:rsidRDefault="00E55C97" w:rsidP="00AE0243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Инспектор </w:t>
      </w:r>
      <w:r w:rsidR="00AE0243">
        <w:rPr>
          <w:rFonts w:ascii="Times New Roman CYR" w:hAnsi="Times New Roman CYR" w:cs="Times New Roman CYR"/>
        </w:rPr>
        <w:t xml:space="preserve"> Счетной палаты                                                                                 </w:t>
      </w:r>
      <w:r>
        <w:rPr>
          <w:rFonts w:ascii="Times New Roman CYR" w:hAnsi="Times New Roman CYR" w:cs="Times New Roman CYR"/>
        </w:rPr>
        <w:t>И.Н.</w:t>
      </w:r>
      <w:r w:rsidR="00AE024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Щелк</w:t>
      </w:r>
      <w:r w:rsidR="00AE0243">
        <w:rPr>
          <w:rFonts w:ascii="Times New Roman CYR" w:hAnsi="Times New Roman CYR" w:cs="Times New Roman CYR"/>
        </w:rPr>
        <w:t>ова</w:t>
      </w:r>
    </w:p>
    <w:p w:rsidR="00AE0243" w:rsidRDefault="00AE0243" w:rsidP="00AE0243">
      <w:pPr>
        <w:rPr>
          <w:rFonts w:ascii="Times New Roman CYR" w:hAnsi="Times New Roman CYR" w:cs="Times New Roman CYR"/>
        </w:rPr>
      </w:pPr>
    </w:p>
    <w:p w:rsidR="00E40A80" w:rsidRDefault="00E40A80" w:rsidP="00AE0243">
      <w:pPr>
        <w:rPr>
          <w:rFonts w:ascii="Times New Roman CYR" w:hAnsi="Times New Roman CYR" w:cs="Times New Roman CYR"/>
        </w:rPr>
      </w:pPr>
    </w:p>
    <w:p w:rsidR="00E40A80" w:rsidRDefault="00E40A80" w:rsidP="00AE0243">
      <w:pPr>
        <w:rPr>
          <w:rFonts w:ascii="Times New Roman CYR" w:hAnsi="Times New Roman CYR" w:cs="Times New Roman CYR"/>
        </w:rPr>
      </w:pPr>
    </w:p>
    <w:p w:rsidR="00E40A80" w:rsidRDefault="00E40A80" w:rsidP="00AE0243">
      <w:pPr>
        <w:rPr>
          <w:rFonts w:ascii="Times New Roman CYR" w:hAnsi="Times New Roman CYR" w:cs="Times New Roman CYR"/>
        </w:rPr>
      </w:pPr>
    </w:p>
    <w:p w:rsidR="00986CA1" w:rsidRDefault="00986CA1" w:rsidP="00AE0243">
      <w:pPr>
        <w:rPr>
          <w:rFonts w:ascii="Times New Roman CYR" w:hAnsi="Times New Roman CYR" w:cs="Times New Roman CYR"/>
        </w:rPr>
      </w:pPr>
    </w:p>
    <w:p w:rsidR="00AE0243" w:rsidRDefault="00E55C97" w:rsidP="00AE0243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Экземпляр заключения на 8 (восьми</w:t>
      </w:r>
      <w:r w:rsidR="00AE0243">
        <w:rPr>
          <w:rFonts w:ascii="Times New Roman CYR" w:hAnsi="Times New Roman CYR" w:cs="Times New Roman CYR"/>
          <w:sz w:val="20"/>
          <w:szCs w:val="20"/>
        </w:rPr>
        <w:t>) листах получен</w:t>
      </w:r>
    </w:p>
    <w:p w:rsidR="00AE0243" w:rsidRDefault="00AE0243" w:rsidP="00AE0243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_____________________________________________________________________________ </w:t>
      </w: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p w:rsidR="00AE0243" w:rsidRDefault="00AE0243" w:rsidP="00AE0243">
      <w:pPr>
        <w:rPr>
          <w:rFonts w:ascii="Times New Roman CYR" w:hAnsi="Times New Roman CYR" w:cs="Times New Roman CYR"/>
        </w:rPr>
      </w:pPr>
    </w:p>
    <w:sectPr w:rsidR="00AE024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2E" w:rsidRDefault="006C032E" w:rsidP="00262B20">
      <w:r>
        <w:separator/>
      </w:r>
    </w:p>
  </w:endnote>
  <w:endnote w:type="continuationSeparator" w:id="0">
    <w:p w:rsidR="006C032E" w:rsidRDefault="006C032E" w:rsidP="0026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612223"/>
      <w:docPartObj>
        <w:docPartGallery w:val="Page Numbers (Bottom of Page)"/>
        <w:docPartUnique/>
      </w:docPartObj>
    </w:sdtPr>
    <w:sdtEndPr/>
    <w:sdtContent>
      <w:p w:rsidR="00482EA9" w:rsidRDefault="00482E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C88">
          <w:rPr>
            <w:noProof/>
          </w:rPr>
          <w:t>8</w:t>
        </w:r>
        <w:r>
          <w:fldChar w:fldCharType="end"/>
        </w:r>
      </w:p>
    </w:sdtContent>
  </w:sdt>
  <w:p w:rsidR="00482EA9" w:rsidRDefault="00482E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2E" w:rsidRDefault="006C032E" w:rsidP="00262B20">
      <w:r>
        <w:separator/>
      </w:r>
    </w:p>
  </w:footnote>
  <w:footnote w:type="continuationSeparator" w:id="0">
    <w:p w:rsidR="006C032E" w:rsidRDefault="006C032E" w:rsidP="0026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43"/>
    <w:rsid w:val="00024151"/>
    <w:rsid w:val="00040588"/>
    <w:rsid w:val="00052A99"/>
    <w:rsid w:val="00061022"/>
    <w:rsid w:val="0006218A"/>
    <w:rsid w:val="00081426"/>
    <w:rsid w:val="00081FF9"/>
    <w:rsid w:val="000A1C2A"/>
    <w:rsid w:val="000A23A7"/>
    <w:rsid w:val="000B0306"/>
    <w:rsid w:val="000E48B8"/>
    <w:rsid w:val="000F0DCA"/>
    <w:rsid w:val="0010334A"/>
    <w:rsid w:val="00106BF0"/>
    <w:rsid w:val="00160717"/>
    <w:rsid w:val="00163F2E"/>
    <w:rsid w:val="0018352E"/>
    <w:rsid w:val="001865D6"/>
    <w:rsid w:val="001B1CF7"/>
    <w:rsid w:val="00256BF6"/>
    <w:rsid w:val="00262B20"/>
    <w:rsid w:val="00290B65"/>
    <w:rsid w:val="003120CD"/>
    <w:rsid w:val="00345717"/>
    <w:rsid w:val="003710B5"/>
    <w:rsid w:val="003E0F2F"/>
    <w:rsid w:val="00402F8A"/>
    <w:rsid w:val="00405C02"/>
    <w:rsid w:val="00453638"/>
    <w:rsid w:val="00482EA9"/>
    <w:rsid w:val="00530EB0"/>
    <w:rsid w:val="00545133"/>
    <w:rsid w:val="005D7C88"/>
    <w:rsid w:val="005D7E0F"/>
    <w:rsid w:val="00634DAC"/>
    <w:rsid w:val="006653EA"/>
    <w:rsid w:val="006A02E9"/>
    <w:rsid w:val="006A6219"/>
    <w:rsid w:val="006C032E"/>
    <w:rsid w:val="006D33CD"/>
    <w:rsid w:val="007006D3"/>
    <w:rsid w:val="00782554"/>
    <w:rsid w:val="007876BC"/>
    <w:rsid w:val="00797AFE"/>
    <w:rsid w:val="007B3D8C"/>
    <w:rsid w:val="007B5BE9"/>
    <w:rsid w:val="007D1E42"/>
    <w:rsid w:val="0081241D"/>
    <w:rsid w:val="00831C1B"/>
    <w:rsid w:val="008630DB"/>
    <w:rsid w:val="00895F56"/>
    <w:rsid w:val="008A4365"/>
    <w:rsid w:val="008D1A8E"/>
    <w:rsid w:val="00904502"/>
    <w:rsid w:val="00911836"/>
    <w:rsid w:val="00934630"/>
    <w:rsid w:val="00950692"/>
    <w:rsid w:val="009767E4"/>
    <w:rsid w:val="00986CA1"/>
    <w:rsid w:val="009F723A"/>
    <w:rsid w:val="009F7F4F"/>
    <w:rsid w:val="00A51E2C"/>
    <w:rsid w:val="00A655FB"/>
    <w:rsid w:val="00A85975"/>
    <w:rsid w:val="00AE0243"/>
    <w:rsid w:val="00B56713"/>
    <w:rsid w:val="00B76924"/>
    <w:rsid w:val="00B81C9C"/>
    <w:rsid w:val="00B842D8"/>
    <w:rsid w:val="00B969A1"/>
    <w:rsid w:val="00BA2223"/>
    <w:rsid w:val="00BA7A60"/>
    <w:rsid w:val="00BC31FF"/>
    <w:rsid w:val="00BD64EB"/>
    <w:rsid w:val="00BE4B72"/>
    <w:rsid w:val="00BF6FC3"/>
    <w:rsid w:val="00C3603F"/>
    <w:rsid w:val="00C700FC"/>
    <w:rsid w:val="00C77A36"/>
    <w:rsid w:val="00C82A3C"/>
    <w:rsid w:val="00CA572D"/>
    <w:rsid w:val="00CC6BC7"/>
    <w:rsid w:val="00CD70A3"/>
    <w:rsid w:val="00D0277D"/>
    <w:rsid w:val="00D11D5B"/>
    <w:rsid w:val="00D31DD5"/>
    <w:rsid w:val="00DA174D"/>
    <w:rsid w:val="00DB6A92"/>
    <w:rsid w:val="00DB6B84"/>
    <w:rsid w:val="00DC72A2"/>
    <w:rsid w:val="00E20822"/>
    <w:rsid w:val="00E34647"/>
    <w:rsid w:val="00E35E15"/>
    <w:rsid w:val="00E40A80"/>
    <w:rsid w:val="00E55C97"/>
    <w:rsid w:val="00E9745C"/>
    <w:rsid w:val="00F2510E"/>
    <w:rsid w:val="00F318FD"/>
    <w:rsid w:val="00F35659"/>
    <w:rsid w:val="00F51E75"/>
    <w:rsid w:val="00F55AC5"/>
    <w:rsid w:val="00F7543E"/>
    <w:rsid w:val="00F91466"/>
    <w:rsid w:val="00FD0488"/>
    <w:rsid w:val="00FE4084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0243"/>
    <w:rPr>
      <w:color w:val="0000FF"/>
      <w:u w:val="single"/>
    </w:rPr>
  </w:style>
  <w:style w:type="paragraph" w:styleId="a4">
    <w:name w:val="Normal (Web)"/>
    <w:basedOn w:val="a"/>
    <w:semiHidden/>
    <w:unhideWhenUsed/>
    <w:rsid w:val="00AE024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AE0243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AE0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E0243"/>
    <w:pPr>
      <w:ind w:left="720"/>
      <w:contextualSpacing/>
    </w:pPr>
  </w:style>
  <w:style w:type="paragraph" w:customStyle="1" w:styleId="ConsNormal">
    <w:name w:val="ConsNormal"/>
    <w:semiHidden/>
    <w:rsid w:val="00AE0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AE0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AE0243"/>
  </w:style>
  <w:style w:type="table" w:styleId="a8">
    <w:name w:val="Table Grid"/>
    <w:basedOn w:val="a1"/>
    <w:rsid w:val="00AE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62B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62B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B03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0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0243"/>
    <w:rPr>
      <w:color w:val="0000FF"/>
      <w:u w:val="single"/>
    </w:rPr>
  </w:style>
  <w:style w:type="paragraph" w:styleId="a4">
    <w:name w:val="Normal (Web)"/>
    <w:basedOn w:val="a"/>
    <w:semiHidden/>
    <w:unhideWhenUsed/>
    <w:rsid w:val="00AE024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AE0243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AE0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E0243"/>
    <w:pPr>
      <w:ind w:left="720"/>
      <w:contextualSpacing/>
    </w:pPr>
  </w:style>
  <w:style w:type="paragraph" w:customStyle="1" w:styleId="ConsNormal">
    <w:name w:val="ConsNormal"/>
    <w:semiHidden/>
    <w:rsid w:val="00AE0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AE0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AE0243"/>
  </w:style>
  <w:style w:type="table" w:styleId="a8">
    <w:name w:val="Table Grid"/>
    <w:basedOn w:val="a1"/>
    <w:rsid w:val="00AE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62B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62B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B03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0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DAFC80FvA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ECE0FvAD" TargetMode="External"/><Relationship Id="rId17" Type="http://schemas.openxmlformats.org/officeDocument/2006/relationships/hyperlink" Target="consultantplus://offline/ref=1504263A50FF57E6DD0489F9D6DD38971631C41CED9E3E1CD9765249089E16516B64C6E0010DA8C40F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4263A50FF57E6DD0489F9D6DD38971631C41CED9E3E1CD9765249089E16516B64C6E0010FAFCF0Fv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DA8C40FvAD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FACC90Fv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8C84-ECD5-4DAC-BD04-EFE7B29B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2017-06-22T08:47:00Z</cp:lastPrinted>
  <dcterms:created xsi:type="dcterms:W3CDTF">2016-05-19T09:01:00Z</dcterms:created>
  <dcterms:modified xsi:type="dcterms:W3CDTF">2017-06-27T00:38:00Z</dcterms:modified>
</cp:coreProperties>
</file>